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2E68D" w14:textId="77777777" w:rsidR="00736A3A" w:rsidRDefault="0096329F">
      <w:pPr>
        <w:pStyle w:val="Heading4"/>
        <w:ind w:left="0" w:hanging="2"/>
      </w:pPr>
      <w:r>
        <w:rPr>
          <w:u w:val="single"/>
        </w:rPr>
        <w:t>Departmental Remuneration Report</w:t>
      </w:r>
      <w:r>
        <w:tab/>
      </w:r>
      <w:r>
        <w:tab/>
      </w:r>
      <w:r>
        <w:tab/>
      </w:r>
      <w:r>
        <w:tab/>
      </w:r>
      <w:r>
        <w:tab/>
      </w:r>
      <w:r>
        <w:tab/>
      </w:r>
    </w:p>
    <w:p w14:paraId="33A2E68E" w14:textId="77777777" w:rsidR="00736A3A" w:rsidRDefault="00736A3A">
      <w:pPr>
        <w:ind w:left="0" w:hanging="2"/>
        <w:rPr>
          <w:rFonts w:ascii="Arial" w:eastAsia="Arial" w:hAnsi="Arial" w:cs="Arial"/>
          <w:sz w:val="22"/>
          <w:szCs w:val="22"/>
        </w:rPr>
      </w:pPr>
    </w:p>
    <w:p w14:paraId="33A2E68F" w14:textId="77777777" w:rsidR="00736A3A" w:rsidRDefault="0096329F">
      <w:pPr>
        <w:ind w:left="0" w:hanging="2"/>
        <w:rPr>
          <w:rFonts w:ascii="Arial" w:eastAsia="Arial" w:hAnsi="Arial" w:cs="Arial"/>
          <w:sz w:val="22"/>
          <w:szCs w:val="22"/>
        </w:rPr>
      </w:pPr>
      <w:r>
        <w:rPr>
          <w:rFonts w:ascii="Arial" w:eastAsia="Arial" w:hAnsi="Arial" w:cs="Arial"/>
          <w:sz w:val="22"/>
          <w:szCs w:val="22"/>
        </w:rPr>
        <w:t>Please note: all the figures in this report are fictitious, exclude names, and are included only to illustrate how the data could be laid out in your report.  Please also note that the information in the example goes further than what is required by the FReM.  However, you must consult Cabinet Office if you propose to omit any significant details.</w:t>
      </w:r>
    </w:p>
    <w:p w14:paraId="33A2E690" w14:textId="77777777" w:rsidR="00736A3A" w:rsidRDefault="00736A3A">
      <w:pPr>
        <w:ind w:left="0" w:hanging="2"/>
        <w:rPr>
          <w:rFonts w:ascii="Arial" w:eastAsia="Arial" w:hAnsi="Arial" w:cs="Arial"/>
          <w:sz w:val="22"/>
          <w:szCs w:val="22"/>
        </w:rPr>
      </w:pPr>
    </w:p>
    <w:p w14:paraId="33A2E691" w14:textId="77777777" w:rsidR="00736A3A" w:rsidRDefault="0096329F">
      <w:pPr>
        <w:keepNext/>
        <w:pBdr>
          <w:top w:val="nil"/>
          <w:left w:val="nil"/>
          <w:bottom w:val="nil"/>
          <w:right w:val="nil"/>
          <w:between w:val="nil"/>
        </w:pBdr>
        <w:spacing w:line="240" w:lineRule="auto"/>
        <w:ind w:left="0" w:hanging="2"/>
        <w:rPr>
          <w:rFonts w:ascii="Arial" w:eastAsia="Arial" w:hAnsi="Arial" w:cs="Arial"/>
          <w:b/>
          <w:color w:val="000000"/>
          <w:sz w:val="22"/>
          <w:szCs w:val="22"/>
          <w:u w:val="single"/>
        </w:rPr>
      </w:pPr>
      <w:r>
        <w:rPr>
          <w:rFonts w:ascii="Arial" w:eastAsia="Arial" w:hAnsi="Arial" w:cs="Arial"/>
          <w:b/>
          <w:color w:val="000000"/>
          <w:sz w:val="22"/>
          <w:szCs w:val="22"/>
          <w:u w:val="single"/>
        </w:rPr>
        <w:t xml:space="preserve">Service Contracts </w:t>
      </w:r>
    </w:p>
    <w:p w14:paraId="33A2E692" w14:textId="77777777" w:rsidR="00736A3A" w:rsidRDefault="00736A3A">
      <w:pPr>
        <w:ind w:left="0" w:hanging="2"/>
        <w:rPr>
          <w:rFonts w:ascii="Arial" w:eastAsia="Arial" w:hAnsi="Arial" w:cs="Arial"/>
          <w:sz w:val="22"/>
          <w:szCs w:val="22"/>
        </w:rPr>
      </w:pPr>
    </w:p>
    <w:p w14:paraId="33A2E693" w14:textId="564405BA" w:rsidR="00736A3A" w:rsidRDefault="0096329F">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The Constitutional Reform and Governance Act 2010 requires Civil Service appointments to be made on merit </w:t>
      </w:r>
      <w:r w:rsidR="00CE1725">
        <w:rPr>
          <w:rFonts w:ascii="Arial" w:eastAsia="Arial" w:hAnsi="Arial" w:cs="Arial"/>
          <w:color w:val="000000"/>
          <w:sz w:val="22"/>
          <w:szCs w:val="22"/>
        </w:rPr>
        <w:t>based on</w:t>
      </w:r>
      <w:r>
        <w:rPr>
          <w:rFonts w:ascii="Arial" w:eastAsia="Arial" w:hAnsi="Arial" w:cs="Arial"/>
          <w:color w:val="000000"/>
          <w:sz w:val="22"/>
          <w:szCs w:val="22"/>
        </w:rPr>
        <w:t xml:space="preserve"> fair and open competition.  The Recruitment Principles published by the Civil Service Commission specify the circumstances when appointments may be made otherwise.</w:t>
      </w:r>
    </w:p>
    <w:p w14:paraId="33A2E694" w14:textId="77777777" w:rsidR="00736A3A" w:rsidRDefault="00736A3A">
      <w:pPr>
        <w:keepNext/>
        <w:pBdr>
          <w:top w:val="nil"/>
          <w:left w:val="nil"/>
          <w:bottom w:val="nil"/>
          <w:right w:val="nil"/>
          <w:between w:val="nil"/>
        </w:pBdr>
        <w:spacing w:line="240" w:lineRule="auto"/>
        <w:ind w:left="0" w:hanging="2"/>
        <w:rPr>
          <w:rFonts w:ascii="Arial" w:eastAsia="Arial" w:hAnsi="Arial" w:cs="Arial"/>
          <w:color w:val="000000"/>
        </w:rPr>
      </w:pPr>
    </w:p>
    <w:p w14:paraId="33A2E695" w14:textId="77777777" w:rsidR="00736A3A" w:rsidRDefault="0096329F">
      <w:pPr>
        <w:keepNext/>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Unless otherwise stated below, the officials covered by this report hold appointments which are open-ended.  Early termination, other than for misconduct, would result in the individual receiving compensation as set out in the Civil Service Compensation Scheme.</w:t>
      </w:r>
    </w:p>
    <w:p w14:paraId="33A2E696" w14:textId="77777777" w:rsidR="00736A3A" w:rsidRDefault="00736A3A">
      <w:pPr>
        <w:ind w:left="0" w:hanging="2"/>
        <w:rPr>
          <w:rFonts w:ascii="Arial" w:eastAsia="Arial" w:hAnsi="Arial" w:cs="Arial"/>
          <w:sz w:val="22"/>
          <w:szCs w:val="22"/>
        </w:rPr>
      </w:pPr>
    </w:p>
    <w:p w14:paraId="33A2E697" w14:textId="77777777" w:rsidR="00736A3A" w:rsidRDefault="0096329F">
      <w:pPr>
        <w:ind w:left="0" w:hanging="2"/>
        <w:rPr>
          <w:rFonts w:ascii="Arial" w:eastAsia="Arial" w:hAnsi="Arial" w:cs="Arial"/>
          <w:sz w:val="22"/>
          <w:szCs w:val="22"/>
        </w:rPr>
      </w:pPr>
      <w:r>
        <w:rPr>
          <w:rFonts w:ascii="Arial" w:eastAsia="Arial" w:hAnsi="Arial" w:cs="Arial"/>
          <w:sz w:val="22"/>
          <w:szCs w:val="22"/>
        </w:rPr>
        <w:t xml:space="preserve">Further information about the work of the Civil Service Commission can be found at </w:t>
      </w:r>
      <w:hyperlink r:id="rId7">
        <w:r>
          <w:rPr>
            <w:rFonts w:ascii="Arial" w:eastAsia="Arial" w:hAnsi="Arial" w:cs="Arial"/>
            <w:color w:val="0000FF"/>
            <w:sz w:val="22"/>
            <w:szCs w:val="22"/>
            <w:u w:val="single"/>
          </w:rPr>
          <w:t>www.civilservicecommission.org.uk</w:t>
        </w:r>
      </w:hyperlink>
    </w:p>
    <w:p w14:paraId="33A2E698" w14:textId="77777777" w:rsidR="00736A3A" w:rsidRDefault="00736A3A">
      <w:pPr>
        <w:keepNext/>
        <w:pBdr>
          <w:top w:val="nil"/>
          <w:left w:val="nil"/>
          <w:bottom w:val="nil"/>
          <w:right w:val="nil"/>
          <w:between w:val="nil"/>
        </w:pBdr>
        <w:spacing w:line="240" w:lineRule="auto"/>
        <w:ind w:left="0" w:hanging="2"/>
        <w:rPr>
          <w:rFonts w:ascii="Arial" w:eastAsia="Arial" w:hAnsi="Arial" w:cs="Arial"/>
          <w:color w:val="000000"/>
          <w:sz w:val="22"/>
          <w:szCs w:val="22"/>
        </w:rPr>
      </w:pPr>
    </w:p>
    <w:p w14:paraId="33A2E699" w14:textId="77777777" w:rsidR="00736A3A" w:rsidRDefault="0096329F">
      <w:pPr>
        <w:ind w:left="0" w:hanging="2"/>
        <w:rPr>
          <w:rFonts w:ascii="Arial" w:eastAsia="Arial" w:hAnsi="Arial" w:cs="Arial"/>
          <w:sz w:val="22"/>
          <w:szCs w:val="22"/>
          <w:u w:val="single"/>
        </w:rPr>
      </w:pPr>
      <w:r>
        <w:rPr>
          <w:rFonts w:ascii="Arial" w:eastAsia="Arial" w:hAnsi="Arial" w:cs="Arial"/>
          <w:b/>
          <w:sz w:val="22"/>
          <w:szCs w:val="22"/>
          <w:u w:val="single"/>
        </w:rPr>
        <w:t>Remuneration Policy</w:t>
      </w:r>
    </w:p>
    <w:p w14:paraId="33A2E69A" w14:textId="77777777" w:rsidR="00736A3A" w:rsidRDefault="00736A3A">
      <w:pPr>
        <w:ind w:left="0" w:hanging="2"/>
        <w:rPr>
          <w:rFonts w:ascii="Arial" w:eastAsia="Arial" w:hAnsi="Arial" w:cs="Arial"/>
          <w:sz w:val="22"/>
          <w:szCs w:val="22"/>
        </w:rPr>
      </w:pPr>
    </w:p>
    <w:p w14:paraId="33A2E69B" w14:textId="77777777" w:rsidR="00736A3A" w:rsidRDefault="0096329F">
      <w:pPr>
        <w:ind w:left="0" w:hanging="2"/>
        <w:rPr>
          <w:rFonts w:ascii="Arial" w:eastAsia="Arial" w:hAnsi="Arial" w:cs="Arial"/>
          <w:sz w:val="22"/>
          <w:szCs w:val="22"/>
        </w:rPr>
      </w:pPr>
      <w:r>
        <w:rPr>
          <w:rFonts w:ascii="Arial" w:eastAsia="Arial" w:hAnsi="Arial" w:cs="Arial"/>
          <w:sz w:val="22"/>
          <w:szCs w:val="22"/>
          <w:highlight w:val="lightGray"/>
        </w:rPr>
        <w:t>[Provide details of remuneration policy]</w:t>
      </w:r>
    </w:p>
    <w:p w14:paraId="33A2E69C" w14:textId="77777777" w:rsidR="00736A3A" w:rsidRDefault="00736A3A">
      <w:pPr>
        <w:ind w:left="0" w:hanging="2"/>
        <w:rPr>
          <w:rFonts w:ascii="Arial" w:eastAsia="Arial" w:hAnsi="Arial" w:cs="Arial"/>
          <w:sz w:val="22"/>
          <w:szCs w:val="22"/>
        </w:rPr>
      </w:pPr>
    </w:p>
    <w:p w14:paraId="33A2E69D" w14:textId="77777777" w:rsidR="00736A3A" w:rsidRDefault="0096329F">
      <w:pPr>
        <w:keepNext/>
        <w:pBdr>
          <w:top w:val="nil"/>
          <w:left w:val="nil"/>
          <w:bottom w:val="nil"/>
          <w:right w:val="nil"/>
          <w:between w:val="nil"/>
        </w:pBdr>
        <w:spacing w:before="100" w:after="100" w:line="240" w:lineRule="auto"/>
        <w:ind w:left="0" w:hanging="2"/>
        <w:rPr>
          <w:rFonts w:ascii="Arial" w:eastAsia="Arial" w:hAnsi="Arial" w:cs="Arial"/>
          <w:b/>
          <w:color w:val="000000"/>
          <w:sz w:val="22"/>
          <w:szCs w:val="22"/>
          <w:u w:val="single"/>
        </w:rPr>
      </w:pPr>
      <w:r>
        <w:rPr>
          <w:rFonts w:ascii="Arial" w:eastAsia="Arial" w:hAnsi="Arial" w:cs="Arial"/>
          <w:b/>
          <w:color w:val="000000"/>
          <w:sz w:val="22"/>
          <w:szCs w:val="22"/>
          <w:u w:val="single"/>
        </w:rPr>
        <w:t xml:space="preserve">Remuneration (including salary) and pension entitlements </w:t>
      </w:r>
    </w:p>
    <w:p w14:paraId="33A2E69E" w14:textId="77777777" w:rsidR="00736A3A" w:rsidRDefault="0096329F">
      <w:pPr>
        <w:ind w:left="0" w:hanging="2"/>
        <w:rPr>
          <w:rFonts w:ascii="Arial" w:eastAsia="Arial" w:hAnsi="Arial" w:cs="Arial"/>
        </w:rPr>
      </w:pPr>
      <w:r>
        <w:rPr>
          <w:rFonts w:ascii="Arial" w:eastAsia="Arial" w:hAnsi="Arial" w:cs="Arial"/>
          <w:sz w:val="22"/>
          <w:szCs w:val="22"/>
        </w:rPr>
        <w:t>The following sections provide details of the remuneration and pension interests of the Ministers and most senior management (i.e. Board members) of the department.</w:t>
      </w:r>
    </w:p>
    <w:p w14:paraId="33A2E69F" w14:textId="77777777" w:rsidR="00736A3A" w:rsidRDefault="00736A3A">
      <w:pPr>
        <w:ind w:left="0" w:hanging="2"/>
        <w:rPr>
          <w:rFonts w:ascii="Arial" w:eastAsia="Arial" w:hAnsi="Arial" w:cs="Arial"/>
          <w:sz w:val="22"/>
          <w:szCs w:val="22"/>
        </w:rPr>
      </w:pPr>
    </w:p>
    <w:p w14:paraId="33A2E6A0" w14:textId="77777777" w:rsidR="00736A3A" w:rsidRDefault="0096329F">
      <w:pPr>
        <w:pStyle w:val="Heading2"/>
        <w:ind w:left="0" w:hanging="2"/>
        <w:rPr>
          <w:rFonts w:ascii="Arial" w:eastAsia="Arial" w:hAnsi="Arial" w:cs="Arial"/>
          <w:sz w:val="22"/>
          <w:szCs w:val="22"/>
          <w:u w:val="single"/>
        </w:rPr>
      </w:pPr>
      <w:r>
        <w:rPr>
          <w:rFonts w:ascii="Arial" w:eastAsia="Arial" w:hAnsi="Arial" w:cs="Arial"/>
          <w:sz w:val="22"/>
          <w:szCs w:val="22"/>
          <w:u w:val="single"/>
        </w:rPr>
        <w:t>Remuneration (salary, benefits in kind and pensions)</w:t>
      </w:r>
    </w:p>
    <w:p w14:paraId="33A2E6A1" w14:textId="77777777" w:rsidR="00736A3A" w:rsidRDefault="00736A3A">
      <w:pPr>
        <w:ind w:left="0" w:hanging="2"/>
        <w:rPr>
          <w:rFonts w:ascii="Arial" w:eastAsia="Arial" w:hAnsi="Arial" w:cs="Arial"/>
          <w:sz w:val="22"/>
          <w:szCs w:val="22"/>
        </w:rPr>
      </w:pPr>
    </w:p>
    <w:tbl>
      <w:tblPr>
        <w:tblStyle w:val="a"/>
        <w:tblW w:w="9578" w:type="dxa"/>
        <w:tblInd w:w="-108" w:type="dxa"/>
        <w:tblLayout w:type="fixed"/>
        <w:tblLook w:val="0000" w:firstRow="0" w:lastRow="0" w:firstColumn="0" w:lastColumn="0" w:noHBand="0" w:noVBand="0"/>
      </w:tblPr>
      <w:tblGrid>
        <w:gridCol w:w="1102"/>
        <w:gridCol w:w="1060"/>
        <w:gridCol w:w="1063"/>
        <w:gridCol w:w="1061"/>
        <w:gridCol w:w="1059"/>
        <w:gridCol w:w="1059"/>
        <w:gridCol w:w="1061"/>
        <w:gridCol w:w="1059"/>
        <w:gridCol w:w="1054"/>
      </w:tblGrid>
      <w:tr w:rsidR="00736A3A" w14:paraId="33A2E6A3" w14:textId="77777777">
        <w:tc>
          <w:tcPr>
            <w:tcW w:w="9578" w:type="dxa"/>
            <w:gridSpan w:val="9"/>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A2E6A2" w14:textId="77777777" w:rsidR="00736A3A" w:rsidRDefault="0096329F">
            <w:pPr>
              <w:ind w:left="0" w:hanging="2"/>
              <w:rPr>
                <w:rFonts w:ascii="Arial" w:eastAsia="Arial" w:hAnsi="Arial" w:cs="Arial"/>
              </w:rPr>
            </w:pPr>
            <w:r>
              <w:rPr>
                <w:rFonts w:ascii="Arial" w:eastAsia="Arial" w:hAnsi="Arial" w:cs="Arial"/>
                <w:b/>
              </w:rPr>
              <w:t>Single total figure of remuneration</w:t>
            </w:r>
          </w:p>
        </w:tc>
      </w:tr>
      <w:tr w:rsidR="00736A3A" w14:paraId="33A2E6A9" w14:textId="77777777">
        <w:tc>
          <w:tcPr>
            <w:tcW w:w="1102" w:type="dxa"/>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A2E6A4" w14:textId="77777777" w:rsidR="00736A3A" w:rsidRDefault="0096329F">
            <w:pPr>
              <w:ind w:left="0" w:hanging="2"/>
              <w:rPr>
                <w:rFonts w:ascii="Arial" w:eastAsia="Arial" w:hAnsi="Arial" w:cs="Arial"/>
              </w:rPr>
            </w:pPr>
            <w:r>
              <w:rPr>
                <w:rFonts w:ascii="Arial" w:eastAsia="Arial" w:hAnsi="Arial" w:cs="Arial"/>
                <w:b/>
              </w:rPr>
              <w:t>Ministers</w:t>
            </w:r>
          </w:p>
        </w:tc>
        <w:tc>
          <w:tcPr>
            <w:tcW w:w="2123" w:type="dxa"/>
            <w:gridSpan w:val="2"/>
            <w:tcBorders>
              <w:top w:val="single" w:sz="4" w:space="0" w:color="000000"/>
              <w:left w:val="nil"/>
              <w:bottom w:val="single" w:sz="8" w:space="0" w:color="000000"/>
              <w:right w:val="single" w:sz="4" w:space="0" w:color="000000"/>
            </w:tcBorders>
            <w:tcMar>
              <w:top w:w="0" w:type="dxa"/>
              <w:left w:w="108" w:type="dxa"/>
              <w:bottom w:w="0" w:type="dxa"/>
              <w:right w:w="108" w:type="dxa"/>
            </w:tcMar>
          </w:tcPr>
          <w:p w14:paraId="33A2E6A5" w14:textId="77777777" w:rsidR="00736A3A" w:rsidRDefault="0096329F">
            <w:pPr>
              <w:ind w:left="0" w:hanging="2"/>
              <w:rPr>
                <w:rFonts w:ascii="Arial" w:eastAsia="Arial" w:hAnsi="Arial" w:cs="Arial"/>
                <w:sz w:val="22"/>
                <w:szCs w:val="22"/>
              </w:rPr>
            </w:pPr>
            <w:r>
              <w:rPr>
                <w:rFonts w:ascii="Arial" w:eastAsia="Arial" w:hAnsi="Arial" w:cs="Arial"/>
              </w:rPr>
              <w:t>Salary (£)</w:t>
            </w:r>
          </w:p>
        </w:tc>
        <w:tc>
          <w:tcPr>
            <w:tcW w:w="21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A2E6A6" w14:textId="77777777" w:rsidR="00736A3A" w:rsidRDefault="0096329F">
            <w:pPr>
              <w:ind w:left="0" w:hanging="2"/>
              <w:rPr>
                <w:rFonts w:ascii="Arial" w:eastAsia="Arial" w:hAnsi="Arial" w:cs="Arial"/>
              </w:rPr>
            </w:pPr>
            <w:r>
              <w:rPr>
                <w:rFonts w:ascii="Arial" w:eastAsia="Arial" w:hAnsi="Arial" w:cs="Arial"/>
              </w:rPr>
              <w:t>Benefits in kind (to nearest £100)</w:t>
            </w:r>
          </w:p>
        </w:tc>
        <w:tc>
          <w:tcPr>
            <w:tcW w:w="2120" w:type="dxa"/>
            <w:gridSpan w:val="2"/>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tcPr>
          <w:p w14:paraId="33A2E6A7" w14:textId="77777777" w:rsidR="00736A3A" w:rsidRDefault="0096329F">
            <w:pPr>
              <w:ind w:left="0" w:hanging="2"/>
              <w:rPr>
                <w:rFonts w:ascii="Arial" w:eastAsia="Arial" w:hAnsi="Arial" w:cs="Arial"/>
                <w:sz w:val="22"/>
                <w:szCs w:val="22"/>
              </w:rPr>
            </w:pPr>
            <w:r>
              <w:rPr>
                <w:rFonts w:ascii="Arial" w:eastAsia="Arial" w:hAnsi="Arial" w:cs="Arial"/>
              </w:rPr>
              <w:t>Pension benefits (to nearest £1000)</w:t>
            </w:r>
            <w:r>
              <w:rPr>
                <w:rFonts w:ascii="Arial" w:eastAsia="Arial" w:hAnsi="Arial" w:cs="Arial"/>
                <w:vertAlign w:val="superscript"/>
              </w:rPr>
              <w:footnoteReference w:id="1"/>
            </w:r>
          </w:p>
        </w:tc>
        <w:tc>
          <w:tcPr>
            <w:tcW w:w="2113" w:type="dxa"/>
            <w:gridSpan w:val="2"/>
            <w:tcBorders>
              <w:top w:val="single" w:sz="4" w:space="0" w:color="000000"/>
              <w:left w:val="nil"/>
              <w:bottom w:val="single" w:sz="8" w:space="0" w:color="000000"/>
              <w:right w:val="single" w:sz="8" w:space="0" w:color="000000"/>
            </w:tcBorders>
            <w:tcMar>
              <w:top w:w="0" w:type="dxa"/>
              <w:left w:w="108" w:type="dxa"/>
              <w:bottom w:w="0" w:type="dxa"/>
              <w:right w:w="108" w:type="dxa"/>
            </w:tcMar>
          </w:tcPr>
          <w:p w14:paraId="33A2E6A8" w14:textId="77777777" w:rsidR="00736A3A" w:rsidRDefault="0096329F">
            <w:pPr>
              <w:ind w:left="0" w:hanging="2"/>
              <w:rPr>
                <w:rFonts w:ascii="Arial" w:eastAsia="Arial" w:hAnsi="Arial" w:cs="Arial"/>
                <w:sz w:val="22"/>
                <w:szCs w:val="22"/>
              </w:rPr>
            </w:pPr>
            <w:r>
              <w:rPr>
                <w:rFonts w:ascii="Arial" w:eastAsia="Arial" w:hAnsi="Arial" w:cs="Arial"/>
              </w:rPr>
              <w:t>Total (to nearest £1,000)</w:t>
            </w:r>
          </w:p>
        </w:tc>
      </w:tr>
      <w:tr w:rsidR="00736A3A" w14:paraId="33A2E6B3" w14:textId="77777777">
        <w:tc>
          <w:tcPr>
            <w:tcW w:w="110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3A2E6AA" w14:textId="77777777" w:rsidR="00736A3A" w:rsidRDefault="00736A3A">
            <w:pPr>
              <w:ind w:left="0" w:hanging="2"/>
              <w:rPr>
                <w:rFonts w:ascii="Arial" w:eastAsia="Arial" w:hAnsi="Arial" w:cs="Arial"/>
              </w:rPr>
            </w:pPr>
          </w:p>
        </w:tc>
        <w:tc>
          <w:tcPr>
            <w:tcW w:w="1060" w:type="dxa"/>
            <w:tcBorders>
              <w:top w:val="nil"/>
              <w:left w:val="nil"/>
              <w:bottom w:val="single" w:sz="8" w:space="0" w:color="000000"/>
              <w:right w:val="single" w:sz="8" w:space="0" w:color="000000"/>
            </w:tcBorders>
            <w:tcMar>
              <w:top w:w="0" w:type="dxa"/>
              <w:left w:w="108" w:type="dxa"/>
              <w:bottom w:w="0" w:type="dxa"/>
              <w:right w:w="108" w:type="dxa"/>
            </w:tcMar>
          </w:tcPr>
          <w:p w14:paraId="33A2E6AB" w14:textId="77777777" w:rsidR="00736A3A" w:rsidRDefault="0096329F">
            <w:pPr>
              <w:ind w:left="0" w:hanging="2"/>
              <w:rPr>
                <w:rFonts w:ascii="Arial" w:eastAsia="Arial" w:hAnsi="Arial" w:cs="Arial"/>
              </w:rPr>
            </w:pPr>
            <w:r>
              <w:rPr>
                <w:rFonts w:ascii="Arial" w:eastAsia="Arial" w:hAnsi="Arial" w:cs="Arial"/>
              </w:rPr>
              <w:t>2024-25</w:t>
            </w:r>
          </w:p>
        </w:tc>
        <w:tc>
          <w:tcPr>
            <w:tcW w:w="1063" w:type="dxa"/>
            <w:tcBorders>
              <w:top w:val="nil"/>
              <w:left w:val="nil"/>
              <w:bottom w:val="single" w:sz="8" w:space="0" w:color="000000"/>
              <w:right w:val="single" w:sz="4" w:space="0" w:color="000000"/>
            </w:tcBorders>
            <w:tcMar>
              <w:top w:w="0" w:type="dxa"/>
              <w:left w:w="108" w:type="dxa"/>
              <w:bottom w:w="0" w:type="dxa"/>
              <w:right w:w="108" w:type="dxa"/>
            </w:tcMar>
          </w:tcPr>
          <w:p w14:paraId="33A2E6AC" w14:textId="77777777" w:rsidR="00736A3A" w:rsidRDefault="0096329F">
            <w:pPr>
              <w:ind w:left="0" w:hanging="2"/>
              <w:rPr>
                <w:rFonts w:ascii="Arial" w:eastAsia="Arial" w:hAnsi="Arial" w:cs="Arial"/>
              </w:rPr>
            </w:pPr>
            <w:r>
              <w:rPr>
                <w:rFonts w:ascii="Arial" w:eastAsia="Arial" w:hAnsi="Arial" w:cs="Arial"/>
              </w:rPr>
              <w:t>2023-24</w:t>
            </w:r>
          </w:p>
        </w:tc>
        <w:tc>
          <w:tcPr>
            <w:tcW w:w="1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A2E6AD" w14:textId="77777777" w:rsidR="00736A3A" w:rsidRDefault="0096329F">
            <w:pPr>
              <w:ind w:left="0" w:hanging="2"/>
              <w:rPr>
                <w:rFonts w:ascii="Arial" w:eastAsia="Arial" w:hAnsi="Arial" w:cs="Arial"/>
              </w:rPr>
            </w:pPr>
            <w:r>
              <w:rPr>
                <w:rFonts w:ascii="Arial" w:eastAsia="Arial" w:hAnsi="Arial" w:cs="Arial"/>
              </w:rPr>
              <w:t>2024-25</w:t>
            </w:r>
          </w:p>
        </w:tc>
        <w:tc>
          <w:tcPr>
            <w:tcW w:w="1059" w:type="dxa"/>
            <w:tcBorders>
              <w:top w:val="nil"/>
              <w:left w:val="single" w:sz="4" w:space="0" w:color="000000"/>
              <w:bottom w:val="single" w:sz="8" w:space="0" w:color="000000"/>
              <w:right w:val="single" w:sz="4" w:space="0" w:color="000000"/>
            </w:tcBorders>
          </w:tcPr>
          <w:p w14:paraId="33A2E6AE" w14:textId="77777777" w:rsidR="00736A3A" w:rsidRDefault="0096329F">
            <w:pPr>
              <w:ind w:left="0" w:hanging="2"/>
              <w:rPr>
                <w:rFonts w:ascii="Arial" w:eastAsia="Arial" w:hAnsi="Arial" w:cs="Arial"/>
              </w:rPr>
            </w:pPr>
            <w:r>
              <w:rPr>
                <w:rFonts w:ascii="Arial" w:eastAsia="Arial" w:hAnsi="Arial" w:cs="Arial"/>
              </w:rPr>
              <w:t>2023-24</w:t>
            </w:r>
          </w:p>
        </w:tc>
        <w:tc>
          <w:tcPr>
            <w:tcW w:w="1059" w:type="dxa"/>
            <w:tcBorders>
              <w:top w:val="nil"/>
              <w:left w:val="single" w:sz="4" w:space="0" w:color="000000"/>
              <w:bottom w:val="single" w:sz="8" w:space="0" w:color="000000"/>
              <w:right w:val="single" w:sz="8" w:space="0" w:color="000000"/>
            </w:tcBorders>
            <w:tcMar>
              <w:top w:w="0" w:type="dxa"/>
              <w:left w:w="108" w:type="dxa"/>
              <w:bottom w:w="0" w:type="dxa"/>
              <w:right w:w="108" w:type="dxa"/>
            </w:tcMar>
          </w:tcPr>
          <w:p w14:paraId="33A2E6AF" w14:textId="77777777" w:rsidR="00736A3A" w:rsidRDefault="0096329F">
            <w:pPr>
              <w:ind w:left="0" w:hanging="2"/>
              <w:rPr>
                <w:rFonts w:ascii="Arial" w:eastAsia="Arial" w:hAnsi="Arial" w:cs="Arial"/>
              </w:rPr>
            </w:pPr>
            <w:r>
              <w:rPr>
                <w:rFonts w:ascii="Arial" w:eastAsia="Arial" w:hAnsi="Arial" w:cs="Arial"/>
              </w:rPr>
              <w:t>2024-25</w:t>
            </w:r>
          </w:p>
        </w:tc>
        <w:tc>
          <w:tcPr>
            <w:tcW w:w="1061" w:type="dxa"/>
            <w:tcBorders>
              <w:top w:val="nil"/>
              <w:left w:val="nil"/>
              <w:bottom w:val="single" w:sz="8" w:space="0" w:color="000000"/>
              <w:right w:val="single" w:sz="8" w:space="0" w:color="000000"/>
            </w:tcBorders>
            <w:tcMar>
              <w:top w:w="0" w:type="dxa"/>
              <w:left w:w="108" w:type="dxa"/>
              <w:bottom w:w="0" w:type="dxa"/>
              <w:right w:w="108" w:type="dxa"/>
            </w:tcMar>
          </w:tcPr>
          <w:p w14:paraId="33A2E6B0" w14:textId="77777777" w:rsidR="00736A3A" w:rsidRDefault="0096329F">
            <w:pPr>
              <w:ind w:left="0" w:hanging="2"/>
              <w:rPr>
                <w:rFonts w:ascii="Arial" w:eastAsia="Arial" w:hAnsi="Arial" w:cs="Arial"/>
              </w:rPr>
            </w:pPr>
            <w:r>
              <w:rPr>
                <w:rFonts w:ascii="Arial" w:eastAsia="Arial" w:hAnsi="Arial" w:cs="Arial"/>
              </w:rPr>
              <w:t>2023-24</w:t>
            </w:r>
          </w:p>
        </w:tc>
        <w:tc>
          <w:tcPr>
            <w:tcW w:w="1059" w:type="dxa"/>
            <w:tcBorders>
              <w:top w:val="nil"/>
              <w:left w:val="nil"/>
              <w:bottom w:val="single" w:sz="8" w:space="0" w:color="000000"/>
              <w:right w:val="single" w:sz="8" w:space="0" w:color="000000"/>
            </w:tcBorders>
            <w:tcMar>
              <w:top w:w="0" w:type="dxa"/>
              <w:left w:w="108" w:type="dxa"/>
              <w:bottom w:w="0" w:type="dxa"/>
              <w:right w:w="108" w:type="dxa"/>
            </w:tcMar>
          </w:tcPr>
          <w:p w14:paraId="33A2E6B1" w14:textId="77777777" w:rsidR="00736A3A" w:rsidRDefault="0096329F">
            <w:pPr>
              <w:ind w:left="0" w:hanging="2"/>
              <w:rPr>
                <w:rFonts w:ascii="Arial" w:eastAsia="Arial" w:hAnsi="Arial" w:cs="Arial"/>
              </w:rPr>
            </w:pPr>
            <w:r>
              <w:rPr>
                <w:rFonts w:ascii="Arial" w:eastAsia="Arial" w:hAnsi="Arial" w:cs="Arial"/>
              </w:rPr>
              <w:t>2024-25</w:t>
            </w:r>
          </w:p>
        </w:tc>
        <w:tc>
          <w:tcPr>
            <w:tcW w:w="1054" w:type="dxa"/>
            <w:tcBorders>
              <w:top w:val="nil"/>
              <w:left w:val="nil"/>
              <w:bottom w:val="single" w:sz="8" w:space="0" w:color="000000"/>
              <w:right w:val="single" w:sz="8" w:space="0" w:color="000000"/>
            </w:tcBorders>
            <w:tcMar>
              <w:top w:w="0" w:type="dxa"/>
              <w:left w:w="108" w:type="dxa"/>
              <w:bottom w:w="0" w:type="dxa"/>
              <w:right w:w="108" w:type="dxa"/>
            </w:tcMar>
          </w:tcPr>
          <w:p w14:paraId="33A2E6B2" w14:textId="77777777" w:rsidR="00736A3A" w:rsidRDefault="0096329F">
            <w:pPr>
              <w:ind w:left="0" w:hanging="2"/>
              <w:rPr>
                <w:rFonts w:ascii="Arial" w:eastAsia="Arial" w:hAnsi="Arial" w:cs="Arial"/>
              </w:rPr>
            </w:pPr>
            <w:r>
              <w:rPr>
                <w:rFonts w:ascii="Arial" w:eastAsia="Arial" w:hAnsi="Arial" w:cs="Arial"/>
              </w:rPr>
              <w:t>2023-24</w:t>
            </w:r>
          </w:p>
        </w:tc>
      </w:tr>
      <w:tr w:rsidR="00736A3A" w14:paraId="33A2E6BE" w14:textId="77777777">
        <w:tc>
          <w:tcPr>
            <w:tcW w:w="110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3A2E6B4" w14:textId="77777777" w:rsidR="00736A3A" w:rsidRDefault="0096329F">
            <w:pPr>
              <w:ind w:left="0" w:hanging="2"/>
              <w:rPr>
                <w:rFonts w:ascii="Arial" w:eastAsia="Arial" w:hAnsi="Arial" w:cs="Arial"/>
              </w:rPr>
            </w:pPr>
            <w:r>
              <w:rPr>
                <w:rFonts w:ascii="Arial" w:eastAsia="Arial" w:hAnsi="Arial" w:cs="Arial"/>
              </w:rPr>
              <w:t>Minister 1</w:t>
            </w:r>
          </w:p>
          <w:p w14:paraId="33A2E6B5" w14:textId="77777777" w:rsidR="00736A3A" w:rsidRDefault="0096329F">
            <w:pPr>
              <w:ind w:left="0" w:hanging="2"/>
              <w:rPr>
                <w:rFonts w:ascii="Arial" w:eastAsia="Arial" w:hAnsi="Arial" w:cs="Arial"/>
                <w:sz w:val="22"/>
                <w:szCs w:val="22"/>
              </w:rPr>
            </w:pPr>
            <w:r>
              <w:rPr>
                <w:rFonts w:ascii="Arial" w:eastAsia="Arial" w:hAnsi="Arial" w:cs="Arial"/>
                <w:i/>
              </w:rPr>
              <w:t>Secretary of State</w:t>
            </w:r>
          </w:p>
        </w:tc>
        <w:tc>
          <w:tcPr>
            <w:tcW w:w="1060" w:type="dxa"/>
            <w:tcBorders>
              <w:top w:val="nil"/>
              <w:left w:val="nil"/>
              <w:bottom w:val="single" w:sz="8" w:space="0" w:color="000000"/>
              <w:right w:val="single" w:sz="4" w:space="0" w:color="000000"/>
            </w:tcBorders>
            <w:tcMar>
              <w:top w:w="0" w:type="dxa"/>
              <w:left w:w="108" w:type="dxa"/>
              <w:bottom w:w="0" w:type="dxa"/>
              <w:right w:w="108" w:type="dxa"/>
            </w:tcMar>
          </w:tcPr>
          <w:p w14:paraId="33A2E6B6" w14:textId="77777777" w:rsidR="00736A3A" w:rsidRDefault="0096329F">
            <w:pPr>
              <w:ind w:left="0" w:hanging="2"/>
              <w:rPr>
                <w:rFonts w:ascii="Arial" w:eastAsia="Arial" w:hAnsi="Arial" w:cs="Arial"/>
              </w:rPr>
            </w:pPr>
            <w:r>
              <w:rPr>
                <w:rFonts w:ascii="Arial" w:eastAsia="Arial" w:hAnsi="Arial" w:cs="Arial"/>
              </w:rPr>
              <w:t>67,505</w:t>
            </w:r>
          </w:p>
        </w:tc>
        <w:tc>
          <w:tcPr>
            <w:tcW w:w="1063" w:type="dxa"/>
            <w:tcBorders>
              <w:top w:val="nil"/>
              <w:left w:val="nil"/>
              <w:bottom w:val="single" w:sz="8" w:space="0" w:color="000000"/>
              <w:right w:val="single" w:sz="4" w:space="0" w:color="000000"/>
            </w:tcBorders>
            <w:tcMar>
              <w:top w:w="0" w:type="dxa"/>
              <w:left w:w="108" w:type="dxa"/>
              <w:bottom w:w="0" w:type="dxa"/>
              <w:right w:w="108" w:type="dxa"/>
            </w:tcMar>
          </w:tcPr>
          <w:p w14:paraId="33A2E6B7" w14:textId="77777777" w:rsidR="00736A3A" w:rsidRDefault="0096329F">
            <w:pPr>
              <w:ind w:left="0" w:hanging="2"/>
              <w:rPr>
                <w:rFonts w:ascii="Arial" w:eastAsia="Arial" w:hAnsi="Arial" w:cs="Arial"/>
              </w:rPr>
            </w:pPr>
            <w:r>
              <w:rPr>
                <w:rFonts w:ascii="Arial" w:eastAsia="Arial" w:hAnsi="Arial" w:cs="Arial"/>
              </w:rPr>
              <w:t>67,505</w:t>
            </w:r>
          </w:p>
        </w:tc>
        <w:tc>
          <w:tcPr>
            <w:tcW w:w="1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A2E6B8" w14:textId="77777777" w:rsidR="00736A3A" w:rsidRDefault="0096329F">
            <w:pPr>
              <w:ind w:left="0" w:hanging="2"/>
              <w:rPr>
                <w:rFonts w:ascii="Arial" w:eastAsia="Arial" w:hAnsi="Arial" w:cs="Arial"/>
              </w:rPr>
            </w:pPr>
            <w:r>
              <w:rPr>
                <w:rFonts w:ascii="Arial" w:eastAsia="Arial" w:hAnsi="Arial" w:cs="Arial"/>
              </w:rPr>
              <w:t>7,400</w:t>
            </w:r>
          </w:p>
        </w:tc>
        <w:tc>
          <w:tcPr>
            <w:tcW w:w="1059" w:type="dxa"/>
            <w:tcBorders>
              <w:top w:val="nil"/>
              <w:left w:val="single" w:sz="4" w:space="0" w:color="000000"/>
              <w:bottom w:val="single" w:sz="8" w:space="0" w:color="000000"/>
              <w:right w:val="single" w:sz="4" w:space="0" w:color="000000"/>
            </w:tcBorders>
          </w:tcPr>
          <w:p w14:paraId="33A2E6B9" w14:textId="77777777" w:rsidR="00736A3A" w:rsidRDefault="0096329F">
            <w:pPr>
              <w:ind w:left="0" w:hanging="2"/>
              <w:rPr>
                <w:rFonts w:ascii="Arial" w:eastAsia="Arial" w:hAnsi="Arial" w:cs="Arial"/>
              </w:rPr>
            </w:pPr>
            <w:r>
              <w:rPr>
                <w:rFonts w:ascii="Arial" w:eastAsia="Arial" w:hAnsi="Arial" w:cs="Arial"/>
              </w:rPr>
              <w:t>7,400</w:t>
            </w:r>
          </w:p>
        </w:tc>
        <w:tc>
          <w:tcPr>
            <w:tcW w:w="1059" w:type="dxa"/>
            <w:tcBorders>
              <w:top w:val="nil"/>
              <w:left w:val="single" w:sz="4" w:space="0" w:color="000000"/>
              <w:bottom w:val="single" w:sz="8" w:space="0" w:color="000000"/>
              <w:right w:val="single" w:sz="8" w:space="0" w:color="000000"/>
            </w:tcBorders>
            <w:tcMar>
              <w:top w:w="0" w:type="dxa"/>
              <w:left w:w="108" w:type="dxa"/>
              <w:bottom w:w="0" w:type="dxa"/>
              <w:right w:w="108" w:type="dxa"/>
            </w:tcMar>
          </w:tcPr>
          <w:p w14:paraId="33A2E6BA" w14:textId="77777777" w:rsidR="00736A3A" w:rsidRDefault="0096329F">
            <w:pPr>
              <w:ind w:left="0" w:hanging="2"/>
              <w:rPr>
                <w:rFonts w:ascii="Arial" w:eastAsia="Arial" w:hAnsi="Arial" w:cs="Arial"/>
              </w:rPr>
            </w:pPr>
            <w:r>
              <w:rPr>
                <w:rFonts w:ascii="Arial" w:eastAsia="Arial" w:hAnsi="Arial" w:cs="Arial"/>
              </w:rPr>
              <w:t>16,000</w:t>
            </w:r>
          </w:p>
        </w:tc>
        <w:tc>
          <w:tcPr>
            <w:tcW w:w="1061" w:type="dxa"/>
            <w:tcBorders>
              <w:top w:val="nil"/>
              <w:left w:val="nil"/>
              <w:bottom w:val="single" w:sz="8" w:space="0" w:color="000000"/>
              <w:right w:val="single" w:sz="8" w:space="0" w:color="000000"/>
            </w:tcBorders>
            <w:tcMar>
              <w:top w:w="0" w:type="dxa"/>
              <w:left w:w="108" w:type="dxa"/>
              <w:bottom w:w="0" w:type="dxa"/>
              <w:right w:w="108" w:type="dxa"/>
            </w:tcMar>
          </w:tcPr>
          <w:p w14:paraId="33A2E6BB" w14:textId="77777777" w:rsidR="00736A3A" w:rsidRDefault="0096329F">
            <w:pPr>
              <w:ind w:left="0" w:hanging="2"/>
              <w:rPr>
                <w:rFonts w:ascii="Arial" w:eastAsia="Arial" w:hAnsi="Arial" w:cs="Arial"/>
              </w:rPr>
            </w:pPr>
            <w:r>
              <w:rPr>
                <w:rFonts w:ascii="Arial" w:eastAsia="Arial" w:hAnsi="Arial" w:cs="Arial"/>
              </w:rPr>
              <w:t>16,000</w:t>
            </w:r>
          </w:p>
        </w:tc>
        <w:tc>
          <w:tcPr>
            <w:tcW w:w="1059" w:type="dxa"/>
            <w:tcBorders>
              <w:top w:val="nil"/>
              <w:left w:val="nil"/>
              <w:bottom w:val="single" w:sz="8" w:space="0" w:color="000000"/>
              <w:right w:val="single" w:sz="8" w:space="0" w:color="000000"/>
            </w:tcBorders>
            <w:tcMar>
              <w:top w:w="0" w:type="dxa"/>
              <w:left w:w="108" w:type="dxa"/>
              <w:bottom w:w="0" w:type="dxa"/>
              <w:right w:w="108" w:type="dxa"/>
            </w:tcMar>
          </w:tcPr>
          <w:p w14:paraId="33A2E6BC" w14:textId="77777777" w:rsidR="00736A3A" w:rsidRDefault="0096329F">
            <w:pPr>
              <w:ind w:left="0" w:hanging="2"/>
              <w:rPr>
                <w:rFonts w:ascii="Arial" w:eastAsia="Arial" w:hAnsi="Arial" w:cs="Arial"/>
              </w:rPr>
            </w:pPr>
            <w:r>
              <w:rPr>
                <w:rFonts w:ascii="Arial" w:eastAsia="Arial" w:hAnsi="Arial" w:cs="Arial"/>
              </w:rPr>
              <w:t>91,000</w:t>
            </w:r>
          </w:p>
        </w:tc>
        <w:tc>
          <w:tcPr>
            <w:tcW w:w="1054" w:type="dxa"/>
            <w:tcBorders>
              <w:top w:val="nil"/>
              <w:left w:val="nil"/>
              <w:bottom w:val="single" w:sz="8" w:space="0" w:color="000000"/>
              <w:right w:val="single" w:sz="8" w:space="0" w:color="000000"/>
            </w:tcBorders>
            <w:tcMar>
              <w:top w:w="0" w:type="dxa"/>
              <w:left w:w="108" w:type="dxa"/>
              <w:bottom w:w="0" w:type="dxa"/>
              <w:right w:w="108" w:type="dxa"/>
            </w:tcMar>
          </w:tcPr>
          <w:p w14:paraId="33A2E6BD" w14:textId="77777777" w:rsidR="00736A3A" w:rsidRDefault="0096329F">
            <w:pPr>
              <w:ind w:left="0" w:hanging="2"/>
              <w:rPr>
                <w:rFonts w:ascii="Arial" w:eastAsia="Arial" w:hAnsi="Arial" w:cs="Arial"/>
              </w:rPr>
            </w:pPr>
            <w:r>
              <w:rPr>
                <w:rFonts w:ascii="Arial" w:eastAsia="Arial" w:hAnsi="Arial" w:cs="Arial"/>
              </w:rPr>
              <w:t>91,000</w:t>
            </w:r>
          </w:p>
        </w:tc>
      </w:tr>
      <w:tr w:rsidR="00736A3A" w14:paraId="33A2E6C9" w14:textId="77777777">
        <w:tc>
          <w:tcPr>
            <w:tcW w:w="1102" w:type="dxa"/>
            <w:tcBorders>
              <w:top w:val="nil"/>
              <w:left w:val="single" w:sz="8" w:space="0" w:color="000000"/>
              <w:bottom w:val="single" w:sz="4" w:space="0" w:color="000000"/>
              <w:right w:val="single" w:sz="8" w:space="0" w:color="000000"/>
            </w:tcBorders>
            <w:tcMar>
              <w:top w:w="0" w:type="dxa"/>
              <w:left w:w="108" w:type="dxa"/>
              <w:bottom w:w="0" w:type="dxa"/>
              <w:right w:w="108" w:type="dxa"/>
            </w:tcMar>
          </w:tcPr>
          <w:p w14:paraId="33A2E6BF" w14:textId="77777777" w:rsidR="00736A3A" w:rsidRDefault="0096329F">
            <w:pPr>
              <w:ind w:left="0" w:hanging="2"/>
              <w:rPr>
                <w:rFonts w:ascii="Arial" w:eastAsia="Arial" w:hAnsi="Arial" w:cs="Arial"/>
              </w:rPr>
            </w:pPr>
            <w:r>
              <w:rPr>
                <w:rFonts w:ascii="Arial" w:eastAsia="Arial" w:hAnsi="Arial" w:cs="Arial"/>
              </w:rPr>
              <w:t>Minister 2</w:t>
            </w:r>
          </w:p>
          <w:p w14:paraId="33A2E6C0" w14:textId="77777777" w:rsidR="00736A3A" w:rsidRDefault="0096329F">
            <w:pPr>
              <w:ind w:left="0" w:hanging="2"/>
              <w:rPr>
                <w:rFonts w:ascii="Arial" w:eastAsia="Arial" w:hAnsi="Arial" w:cs="Arial"/>
                <w:sz w:val="22"/>
                <w:szCs w:val="22"/>
              </w:rPr>
            </w:pPr>
            <w:r>
              <w:rPr>
                <w:rFonts w:ascii="Arial" w:eastAsia="Arial" w:hAnsi="Arial" w:cs="Arial"/>
                <w:i/>
              </w:rPr>
              <w:t>Minister of State</w:t>
            </w:r>
          </w:p>
        </w:tc>
        <w:tc>
          <w:tcPr>
            <w:tcW w:w="1060" w:type="dxa"/>
            <w:tcBorders>
              <w:top w:val="nil"/>
              <w:left w:val="nil"/>
              <w:bottom w:val="single" w:sz="4" w:space="0" w:color="000000"/>
              <w:right w:val="single" w:sz="4" w:space="0" w:color="000000"/>
            </w:tcBorders>
            <w:tcMar>
              <w:top w:w="0" w:type="dxa"/>
              <w:left w:w="108" w:type="dxa"/>
              <w:bottom w:w="0" w:type="dxa"/>
              <w:right w:w="108" w:type="dxa"/>
            </w:tcMar>
          </w:tcPr>
          <w:p w14:paraId="33A2E6C1" w14:textId="77777777" w:rsidR="00736A3A" w:rsidRDefault="0096329F">
            <w:pPr>
              <w:ind w:left="0" w:hanging="2"/>
              <w:rPr>
                <w:rFonts w:ascii="Arial" w:eastAsia="Arial" w:hAnsi="Arial" w:cs="Arial"/>
              </w:rPr>
            </w:pPr>
            <w:r>
              <w:rPr>
                <w:rFonts w:ascii="Arial" w:eastAsia="Arial" w:hAnsi="Arial" w:cs="Arial"/>
              </w:rPr>
              <w:t>31,680</w:t>
            </w:r>
          </w:p>
        </w:tc>
        <w:tc>
          <w:tcPr>
            <w:tcW w:w="1063" w:type="dxa"/>
            <w:tcBorders>
              <w:top w:val="nil"/>
              <w:left w:val="nil"/>
              <w:bottom w:val="single" w:sz="4" w:space="0" w:color="000000"/>
              <w:right w:val="single" w:sz="4" w:space="0" w:color="000000"/>
            </w:tcBorders>
            <w:tcMar>
              <w:top w:w="0" w:type="dxa"/>
              <w:left w:w="108" w:type="dxa"/>
              <w:bottom w:w="0" w:type="dxa"/>
              <w:right w:w="108" w:type="dxa"/>
            </w:tcMar>
          </w:tcPr>
          <w:p w14:paraId="33A2E6C2" w14:textId="77777777" w:rsidR="00736A3A" w:rsidRDefault="0096329F">
            <w:pPr>
              <w:ind w:left="0" w:hanging="2"/>
              <w:rPr>
                <w:rFonts w:ascii="Arial" w:eastAsia="Arial" w:hAnsi="Arial" w:cs="Arial"/>
              </w:rPr>
            </w:pPr>
            <w:r>
              <w:rPr>
                <w:rFonts w:ascii="Arial" w:eastAsia="Arial" w:hAnsi="Arial" w:cs="Arial"/>
              </w:rPr>
              <w:t>31,680</w:t>
            </w:r>
          </w:p>
        </w:tc>
        <w:tc>
          <w:tcPr>
            <w:tcW w:w="1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A2E6C3" w14:textId="77777777" w:rsidR="00736A3A" w:rsidRDefault="0096329F">
            <w:pPr>
              <w:ind w:left="0" w:hanging="2"/>
              <w:rPr>
                <w:rFonts w:ascii="Arial" w:eastAsia="Arial" w:hAnsi="Arial" w:cs="Arial"/>
              </w:rPr>
            </w:pPr>
            <w:r>
              <w:rPr>
                <w:rFonts w:ascii="Arial" w:eastAsia="Arial" w:hAnsi="Arial" w:cs="Arial"/>
              </w:rPr>
              <w:t>-</w:t>
            </w:r>
          </w:p>
        </w:tc>
        <w:tc>
          <w:tcPr>
            <w:tcW w:w="1059" w:type="dxa"/>
            <w:tcBorders>
              <w:top w:val="nil"/>
              <w:left w:val="single" w:sz="4" w:space="0" w:color="000000"/>
              <w:bottom w:val="single" w:sz="4" w:space="0" w:color="000000"/>
              <w:right w:val="single" w:sz="4" w:space="0" w:color="000000"/>
            </w:tcBorders>
          </w:tcPr>
          <w:p w14:paraId="33A2E6C4" w14:textId="77777777" w:rsidR="00736A3A" w:rsidRDefault="0096329F">
            <w:pPr>
              <w:ind w:left="0" w:hanging="2"/>
              <w:rPr>
                <w:rFonts w:ascii="Arial" w:eastAsia="Arial" w:hAnsi="Arial" w:cs="Arial"/>
              </w:rPr>
            </w:pPr>
            <w:r>
              <w:rPr>
                <w:rFonts w:ascii="Arial" w:eastAsia="Arial" w:hAnsi="Arial" w:cs="Arial"/>
              </w:rPr>
              <w:t>-</w:t>
            </w:r>
          </w:p>
        </w:tc>
        <w:tc>
          <w:tcPr>
            <w:tcW w:w="1059" w:type="dxa"/>
            <w:tcBorders>
              <w:top w:val="nil"/>
              <w:left w:val="single" w:sz="4" w:space="0" w:color="000000"/>
              <w:bottom w:val="single" w:sz="4" w:space="0" w:color="000000"/>
              <w:right w:val="single" w:sz="8" w:space="0" w:color="000000"/>
            </w:tcBorders>
            <w:tcMar>
              <w:top w:w="0" w:type="dxa"/>
              <w:left w:w="108" w:type="dxa"/>
              <w:bottom w:w="0" w:type="dxa"/>
              <w:right w:w="108" w:type="dxa"/>
            </w:tcMar>
          </w:tcPr>
          <w:p w14:paraId="33A2E6C5" w14:textId="77777777" w:rsidR="00736A3A" w:rsidRDefault="0096329F">
            <w:pPr>
              <w:ind w:left="0" w:hanging="2"/>
              <w:rPr>
                <w:rFonts w:ascii="Arial" w:eastAsia="Arial" w:hAnsi="Arial" w:cs="Arial"/>
              </w:rPr>
            </w:pPr>
            <w:r>
              <w:rPr>
                <w:rFonts w:ascii="Arial" w:eastAsia="Arial" w:hAnsi="Arial" w:cs="Arial"/>
              </w:rPr>
              <w:t>8,000</w:t>
            </w:r>
          </w:p>
        </w:tc>
        <w:tc>
          <w:tcPr>
            <w:tcW w:w="1061" w:type="dxa"/>
            <w:tcBorders>
              <w:top w:val="nil"/>
              <w:left w:val="nil"/>
              <w:bottom w:val="single" w:sz="4" w:space="0" w:color="000000"/>
              <w:right w:val="single" w:sz="8" w:space="0" w:color="000000"/>
            </w:tcBorders>
            <w:tcMar>
              <w:top w:w="0" w:type="dxa"/>
              <w:left w:w="108" w:type="dxa"/>
              <w:bottom w:w="0" w:type="dxa"/>
              <w:right w:w="108" w:type="dxa"/>
            </w:tcMar>
          </w:tcPr>
          <w:p w14:paraId="33A2E6C6" w14:textId="77777777" w:rsidR="00736A3A" w:rsidRDefault="0096329F">
            <w:pPr>
              <w:ind w:left="0" w:hanging="2"/>
              <w:rPr>
                <w:rFonts w:ascii="Arial" w:eastAsia="Arial" w:hAnsi="Arial" w:cs="Arial"/>
              </w:rPr>
            </w:pPr>
            <w:r>
              <w:rPr>
                <w:rFonts w:ascii="Arial" w:eastAsia="Arial" w:hAnsi="Arial" w:cs="Arial"/>
              </w:rPr>
              <w:t>8,000</w:t>
            </w:r>
          </w:p>
        </w:tc>
        <w:tc>
          <w:tcPr>
            <w:tcW w:w="1059" w:type="dxa"/>
            <w:tcBorders>
              <w:top w:val="nil"/>
              <w:left w:val="nil"/>
              <w:bottom w:val="single" w:sz="4" w:space="0" w:color="000000"/>
              <w:right w:val="single" w:sz="8" w:space="0" w:color="000000"/>
            </w:tcBorders>
            <w:tcMar>
              <w:top w:w="0" w:type="dxa"/>
              <w:left w:w="108" w:type="dxa"/>
              <w:bottom w:w="0" w:type="dxa"/>
              <w:right w:w="108" w:type="dxa"/>
            </w:tcMar>
          </w:tcPr>
          <w:p w14:paraId="33A2E6C7" w14:textId="77777777" w:rsidR="00736A3A" w:rsidRDefault="0096329F">
            <w:pPr>
              <w:ind w:left="0" w:hanging="2"/>
              <w:rPr>
                <w:rFonts w:ascii="Arial" w:eastAsia="Arial" w:hAnsi="Arial" w:cs="Arial"/>
              </w:rPr>
            </w:pPr>
            <w:r>
              <w:rPr>
                <w:rFonts w:ascii="Arial" w:eastAsia="Arial" w:hAnsi="Arial" w:cs="Arial"/>
              </w:rPr>
              <w:t>40,000</w:t>
            </w:r>
          </w:p>
        </w:tc>
        <w:tc>
          <w:tcPr>
            <w:tcW w:w="1054" w:type="dxa"/>
            <w:tcBorders>
              <w:top w:val="nil"/>
              <w:left w:val="nil"/>
              <w:bottom w:val="single" w:sz="4" w:space="0" w:color="000000"/>
              <w:right w:val="single" w:sz="8" w:space="0" w:color="000000"/>
            </w:tcBorders>
            <w:tcMar>
              <w:top w:w="0" w:type="dxa"/>
              <w:left w:w="108" w:type="dxa"/>
              <w:bottom w:w="0" w:type="dxa"/>
              <w:right w:w="108" w:type="dxa"/>
            </w:tcMar>
          </w:tcPr>
          <w:p w14:paraId="33A2E6C8" w14:textId="77777777" w:rsidR="00736A3A" w:rsidRDefault="0096329F">
            <w:pPr>
              <w:ind w:left="0" w:hanging="2"/>
              <w:rPr>
                <w:rFonts w:ascii="Arial" w:eastAsia="Arial" w:hAnsi="Arial" w:cs="Arial"/>
              </w:rPr>
            </w:pPr>
            <w:r>
              <w:rPr>
                <w:rFonts w:ascii="Arial" w:eastAsia="Arial" w:hAnsi="Arial" w:cs="Arial"/>
              </w:rPr>
              <w:t>40,000</w:t>
            </w:r>
          </w:p>
        </w:tc>
      </w:tr>
      <w:tr w:rsidR="00736A3A" w14:paraId="33A2E6D4" w14:textId="77777777">
        <w:tc>
          <w:tcPr>
            <w:tcW w:w="1102"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tcPr>
          <w:p w14:paraId="33A2E6CA" w14:textId="77777777" w:rsidR="00736A3A" w:rsidRDefault="0096329F">
            <w:pPr>
              <w:ind w:left="0" w:hanging="2"/>
              <w:rPr>
                <w:rFonts w:ascii="Arial" w:eastAsia="Arial" w:hAnsi="Arial" w:cs="Arial"/>
              </w:rPr>
            </w:pPr>
            <w:r>
              <w:rPr>
                <w:rFonts w:ascii="Arial" w:eastAsia="Arial" w:hAnsi="Arial" w:cs="Arial"/>
              </w:rPr>
              <w:t>Minister 3</w:t>
            </w:r>
          </w:p>
          <w:p w14:paraId="33A2E6CB" w14:textId="77777777" w:rsidR="00736A3A" w:rsidRDefault="0096329F">
            <w:pPr>
              <w:ind w:left="0" w:hanging="2"/>
              <w:rPr>
                <w:rFonts w:ascii="Arial" w:eastAsia="Arial" w:hAnsi="Arial" w:cs="Arial"/>
              </w:rPr>
            </w:pPr>
            <w:r>
              <w:rPr>
                <w:rFonts w:ascii="Arial" w:eastAsia="Arial" w:hAnsi="Arial" w:cs="Arial"/>
                <w:i/>
              </w:rPr>
              <w:t>Minister of State</w:t>
            </w:r>
          </w:p>
        </w:tc>
        <w:tc>
          <w:tcPr>
            <w:tcW w:w="1060"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33A2E6CC" w14:textId="77777777" w:rsidR="00736A3A" w:rsidRDefault="0096329F">
            <w:pPr>
              <w:ind w:left="0" w:hanging="2"/>
              <w:rPr>
                <w:rFonts w:ascii="Arial" w:eastAsia="Arial" w:hAnsi="Arial" w:cs="Arial"/>
              </w:rPr>
            </w:pPr>
            <w:r>
              <w:rPr>
                <w:rFonts w:ascii="Arial" w:eastAsia="Arial" w:hAnsi="Arial" w:cs="Arial"/>
              </w:rPr>
              <w:t>31,680</w:t>
            </w:r>
          </w:p>
        </w:tc>
        <w:tc>
          <w:tcPr>
            <w:tcW w:w="1063"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33A2E6CD" w14:textId="77777777" w:rsidR="00736A3A" w:rsidRDefault="0096329F">
            <w:pPr>
              <w:ind w:left="0" w:hanging="2"/>
              <w:rPr>
                <w:rFonts w:ascii="Arial" w:eastAsia="Arial" w:hAnsi="Arial" w:cs="Arial"/>
              </w:rPr>
            </w:pPr>
            <w:r>
              <w:rPr>
                <w:rFonts w:ascii="Arial" w:eastAsia="Arial" w:hAnsi="Arial" w:cs="Arial"/>
              </w:rPr>
              <w:t>31,680</w:t>
            </w:r>
          </w:p>
        </w:tc>
        <w:tc>
          <w:tcPr>
            <w:tcW w:w="1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A2E6CE" w14:textId="77777777" w:rsidR="00736A3A" w:rsidRDefault="0096329F">
            <w:pPr>
              <w:ind w:left="0" w:hanging="2"/>
              <w:rPr>
                <w:rFonts w:ascii="Arial" w:eastAsia="Arial" w:hAnsi="Arial" w:cs="Arial"/>
              </w:rPr>
            </w:pPr>
            <w:r>
              <w:rPr>
                <w:rFonts w:ascii="Arial" w:eastAsia="Arial" w:hAnsi="Arial" w:cs="Arial"/>
              </w:rPr>
              <w:t>-</w:t>
            </w:r>
          </w:p>
        </w:tc>
        <w:tc>
          <w:tcPr>
            <w:tcW w:w="1059" w:type="dxa"/>
            <w:tcBorders>
              <w:top w:val="single" w:sz="4" w:space="0" w:color="000000"/>
              <w:left w:val="single" w:sz="4" w:space="0" w:color="000000"/>
              <w:bottom w:val="single" w:sz="4" w:space="0" w:color="000000"/>
              <w:right w:val="single" w:sz="4" w:space="0" w:color="000000"/>
            </w:tcBorders>
          </w:tcPr>
          <w:p w14:paraId="33A2E6CF" w14:textId="77777777" w:rsidR="00736A3A" w:rsidRDefault="0096329F">
            <w:pPr>
              <w:ind w:left="0" w:hanging="2"/>
              <w:rPr>
                <w:rFonts w:ascii="Arial" w:eastAsia="Arial" w:hAnsi="Arial" w:cs="Arial"/>
              </w:rPr>
            </w:pPr>
            <w:r>
              <w:rPr>
                <w:rFonts w:ascii="Arial" w:eastAsia="Arial" w:hAnsi="Arial" w:cs="Arial"/>
              </w:rPr>
              <w:t>-</w:t>
            </w:r>
          </w:p>
        </w:tc>
        <w:tc>
          <w:tcPr>
            <w:tcW w:w="1059"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tcPr>
          <w:p w14:paraId="33A2E6D0" w14:textId="77777777" w:rsidR="00736A3A" w:rsidRDefault="0096329F">
            <w:pPr>
              <w:ind w:left="0" w:hanging="2"/>
              <w:rPr>
                <w:rFonts w:ascii="Arial" w:eastAsia="Arial" w:hAnsi="Arial" w:cs="Arial"/>
              </w:rPr>
            </w:pPr>
            <w:r>
              <w:rPr>
                <w:rFonts w:ascii="Arial" w:eastAsia="Arial" w:hAnsi="Arial" w:cs="Arial"/>
              </w:rPr>
              <w:t>8,000</w:t>
            </w:r>
          </w:p>
        </w:tc>
        <w:tc>
          <w:tcPr>
            <w:tcW w:w="1061" w:type="dxa"/>
            <w:tcBorders>
              <w:top w:val="single" w:sz="4" w:space="0" w:color="000000"/>
              <w:left w:val="nil"/>
              <w:bottom w:val="single" w:sz="4" w:space="0" w:color="000000"/>
              <w:right w:val="single" w:sz="8" w:space="0" w:color="000000"/>
            </w:tcBorders>
            <w:tcMar>
              <w:top w:w="0" w:type="dxa"/>
              <w:left w:w="108" w:type="dxa"/>
              <w:bottom w:w="0" w:type="dxa"/>
              <w:right w:w="108" w:type="dxa"/>
            </w:tcMar>
          </w:tcPr>
          <w:p w14:paraId="33A2E6D1" w14:textId="77777777" w:rsidR="00736A3A" w:rsidRDefault="0096329F">
            <w:pPr>
              <w:ind w:left="0" w:hanging="2"/>
              <w:rPr>
                <w:rFonts w:ascii="Arial" w:eastAsia="Arial" w:hAnsi="Arial" w:cs="Arial"/>
              </w:rPr>
            </w:pPr>
            <w:r>
              <w:rPr>
                <w:rFonts w:ascii="Arial" w:eastAsia="Arial" w:hAnsi="Arial" w:cs="Arial"/>
              </w:rPr>
              <w:t>8,000</w:t>
            </w:r>
          </w:p>
        </w:tc>
        <w:tc>
          <w:tcPr>
            <w:tcW w:w="1059" w:type="dxa"/>
            <w:tcBorders>
              <w:top w:val="single" w:sz="4" w:space="0" w:color="000000"/>
              <w:left w:val="nil"/>
              <w:bottom w:val="single" w:sz="4" w:space="0" w:color="000000"/>
              <w:right w:val="single" w:sz="8" w:space="0" w:color="000000"/>
            </w:tcBorders>
            <w:tcMar>
              <w:top w:w="0" w:type="dxa"/>
              <w:left w:w="108" w:type="dxa"/>
              <w:bottom w:w="0" w:type="dxa"/>
              <w:right w:w="108" w:type="dxa"/>
            </w:tcMar>
          </w:tcPr>
          <w:p w14:paraId="33A2E6D2" w14:textId="77777777" w:rsidR="00736A3A" w:rsidRDefault="0096329F">
            <w:pPr>
              <w:ind w:left="0" w:hanging="2"/>
              <w:rPr>
                <w:rFonts w:ascii="Arial" w:eastAsia="Arial" w:hAnsi="Arial" w:cs="Arial"/>
              </w:rPr>
            </w:pPr>
            <w:r>
              <w:rPr>
                <w:rFonts w:ascii="Arial" w:eastAsia="Arial" w:hAnsi="Arial" w:cs="Arial"/>
              </w:rPr>
              <w:t>40,000</w:t>
            </w:r>
          </w:p>
        </w:tc>
        <w:tc>
          <w:tcPr>
            <w:tcW w:w="1054" w:type="dxa"/>
            <w:tcBorders>
              <w:top w:val="single" w:sz="4" w:space="0" w:color="000000"/>
              <w:left w:val="nil"/>
              <w:bottom w:val="single" w:sz="4" w:space="0" w:color="000000"/>
              <w:right w:val="single" w:sz="8" w:space="0" w:color="000000"/>
            </w:tcBorders>
            <w:tcMar>
              <w:top w:w="0" w:type="dxa"/>
              <w:left w:w="108" w:type="dxa"/>
              <w:bottom w:w="0" w:type="dxa"/>
              <w:right w:w="108" w:type="dxa"/>
            </w:tcMar>
          </w:tcPr>
          <w:p w14:paraId="33A2E6D3" w14:textId="77777777" w:rsidR="00736A3A" w:rsidRDefault="0096329F">
            <w:pPr>
              <w:ind w:left="0" w:hanging="2"/>
              <w:rPr>
                <w:rFonts w:ascii="Arial" w:eastAsia="Arial" w:hAnsi="Arial" w:cs="Arial"/>
              </w:rPr>
            </w:pPr>
            <w:r>
              <w:rPr>
                <w:rFonts w:ascii="Arial" w:eastAsia="Arial" w:hAnsi="Arial" w:cs="Arial"/>
              </w:rPr>
              <w:t>40,000</w:t>
            </w:r>
          </w:p>
        </w:tc>
      </w:tr>
    </w:tbl>
    <w:p w14:paraId="33A2E6D5" w14:textId="77777777" w:rsidR="00736A3A" w:rsidRDefault="00736A3A">
      <w:pPr>
        <w:ind w:left="0" w:hanging="2"/>
        <w:rPr>
          <w:rFonts w:ascii="Arial" w:eastAsia="Arial" w:hAnsi="Arial" w:cs="Arial"/>
          <w:sz w:val="22"/>
          <w:szCs w:val="22"/>
        </w:rPr>
      </w:pPr>
    </w:p>
    <w:tbl>
      <w:tblPr>
        <w:tblStyle w:val="a0"/>
        <w:tblW w:w="9576" w:type="dxa"/>
        <w:tblInd w:w="-108" w:type="dxa"/>
        <w:tblLayout w:type="fixed"/>
        <w:tblLook w:val="0000" w:firstRow="0" w:lastRow="0" w:firstColumn="0" w:lastColumn="0" w:noHBand="0" w:noVBand="0"/>
      </w:tblPr>
      <w:tblGrid>
        <w:gridCol w:w="1195"/>
        <w:gridCol w:w="838"/>
        <w:gridCol w:w="839"/>
        <w:gridCol w:w="839"/>
        <w:gridCol w:w="839"/>
        <w:gridCol w:w="839"/>
        <w:gridCol w:w="839"/>
        <w:gridCol w:w="839"/>
        <w:gridCol w:w="839"/>
        <w:gridCol w:w="839"/>
        <w:gridCol w:w="831"/>
      </w:tblGrid>
      <w:tr w:rsidR="00736A3A" w14:paraId="33A2E6D7" w14:textId="77777777">
        <w:tc>
          <w:tcPr>
            <w:tcW w:w="9576" w:type="dxa"/>
            <w:gridSpan w:val="11"/>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A2E6D6" w14:textId="77777777" w:rsidR="00736A3A" w:rsidRDefault="0096329F">
            <w:pPr>
              <w:ind w:left="0" w:hanging="2"/>
              <w:rPr>
                <w:rFonts w:ascii="Arial" w:eastAsia="Arial" w:hAnsi="Arial" w:cs="Arial"/>
                <w:sz w:val="22"/>
                <w:szCs w:val="22"/>
              </w:rPr>
            </w:pPr>
            <w:r>
              <w:rPr>
                <w:rFonts w:ascii="Arial" w:eastAsia="Arial" w:hAnsi="Arial" w:cs="Arial"/>
                <w:b/>
              </w:rPr>
              <w:t>Single total figure of remuneration</w:t>
            </w:r>
          </w:p>
        </w:tc>
      </w:tr>
      <w:tr w:rsidR="00736A3A" w14:paraId="33A2E6DE" w14:textId="77777777">
        <w:tc>
          <w:tcPr>
            <w:tcW w:w="119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3A2E6D8" w14:textId="77777777" w:rsidR="00736A3A" w:rsidRDefault="0096329F">
            <w:pPr>
              <w:ind w:left="0" w:hanging="2"/>
              <w:rPr>
                <w:rFonts w:ascii="Arial" w:eastAsia="Arial" w:hAnsi="Arial" w:cs="Arial"/>
              </w:rPr>
            </w:pPr>
            <w:r>
              <w:rPr>
                <w:rFonts w:ascii="Arial" w:eastAsia="Arial" w:hAnsi="Arial" w:cs="Arial"/>
                <w:b/>
              </w:rPr>
              <w:t>Officials</w:t>
            </w:r>
          </w:p>
        </w:tc>
        <w:tc>
          <w:tcPr>
            <w:tcW w:w="1677" w:type="dxa"/>
            <w:gridSpan w:val="2"/>
            <w:tcBorders>
              <w:top w:val="nil"/>
              <w:left w:val="nil"/>
              <w:bottom w:val="single" w:sz="8" w:space="0" w:color="000000"/>
              <w:right w:val="single" w:sz="8" w:space="0" w:color="000000"/>
            </w:tcBorders>
            <w:tcMar>
              <w:top w:w="0" w:type="dxa"/>
              <w:left w:w="108" w:type="dxa"/>
              <w:bottom w:w="0" w:type="dxa"/>
              <w:right w:w="108" w:type="dxa"/>
            </w:tcMar>
          </w:tcPr>
          <w:p w14:paraId="33A2E6D9" w14:textId="77777777" w:rsidR="00736A3A" w:rsidRDefault="0096329F">
            <w:pPr>
              <w:ind w:left="0" w:hanging="2"/>
              <w:rPr>
                <w:rFonts w:ascii="Arial" w:eastAsia="Arial" w:hAnsi="Arial" w:cs="Arial"/>
                <w:sz w:val="22"/>
                <w:szCs w:val="22"/>
              </w:rPr>
            </w:pPr>
            <w:r>
              <w:rPr>
                <w:rFonts w:ascii="Arial" w:eastAsia="Arial" w:hAnsi="Arial" w:cs="Arial"/>
              </w:rPr>
              <w:t>Salary (£’000)</w:t>
            </w:r>
          </w:p>
        </w:tc>
        <w:tc>
          <w:tcPr>
            <w:tcW w:w="1678" w:type="dxa"/>
            <w:gridSpan w:val="2"/>
            <w:tcBorders>
              <w:top w:val="nil"/>
              <w:left w:val="nil"/>
              <w:bottom w:val="single" w:sz="8" w:space="0" w:color="000000"/>
              <w:right w:val="single" w:sz="8" w:space="0" w:color="000000"/>
            </w:tcBorders>
            <w:tcMar>
              <w:top w:w="0" w:type="dxa"/>
              <w:left w:w="108" w:type="dxa"/>
              <w:bottom w:w="0" w:type="dxa"/>
              <w:right w:w="108" w:type="dxa"/>
            </w:tcMar>
          </w:tcPr>
          <w:p w14:paraId="33A2E6DA" w14:textId="77777777" w:rsidR="00736A3A" w:rsidRDefault="0096329F">
            <w:pPr>
              <w:ind w:left="0" w:hanging="2"/>
              <w:rPr>
                <w:rFonts w:ascii="Arial" w:eastAsia="Arial" w:hAnsi="Arial" w:cs="Arial"/>
                <w:sz w:val="22"/>
                <w:szCs w:val="22"/>
              </w:rPr>
            </w:pPr>
            <w:r>
              <w:rPr>
                <w:rFonts w:ascii="Arial" w:eastAsia="Arial" w:hAnsi="Arial" w:cs="Arial"/>
              </w:rPr>
              <w:t>Bonus payments (£,000)</w:t>
            </w:r>
          </w:p>
        </w:tc>
        <w:tc>
          <w:tcPr>
            <w:tcW w:w="1678" w:type="dxa"/>
            <w:gridSpan w:val="2"/>
            <w:tcBorders>
              <w:top w:val="nil"/>
              <w:left w:val="nil"/>
              <w:bottom w:val="single" w:sz="8" w:space="0" w:color="000000"/>
              <w:right w:val="single" w:sz="8" w:space="0" w:color="000000"/>
            </w:tcBorders>
            <w:tcMar>
              <w:top w:w="0" w:type="dxa"/>
              <w:left w:w="108" w:type="dxa"/>
              <w:bottom w:w="0" w:type="dxa"/>
              <w:right w:w="108" w:type="dxa"/>
            </w:tcMar>
          </w:tcPr>
          <w:p w14:paraId="33A2E6DB" w14:textId="77777777" w:rsidR="00736A3A" w:rsidRDefault="0096329F">
            <w:pPr>
              <w:ind w:left="0" w:hanging="2"/>
              <w:rPr>
                <w:rFonts w:ascii="Arial" w:eastAsia="Arial" w:hAnsi="Arial" w:cs="Arial"/>
                <w:sz w:val="22"/>
                <w:szCs w:val="22"/>
              </w:rPr>
            </w:pPr>
            <w:r>
              <w:rPr>
                <w:rFonts w:ascii="Arial" w:eastAsia="Arial" w:hAnsi="Arial" w:cs="Arial"/>
              </w:rPr>
              <w:t>Benefits in kind (to nearest £100)</w:t>
            </w:r>
          </w:p>
        </w:tc>
        <w:tc>
          <w:tcPr>
            <w:tcW w:w="1678" w:type="dxa"/>
            <w:gridSpan w:val="2"/>
            <w:tcBorders>
              <w:top w:val="nil"/>
              <w:left w:val="nil"/>
              <w:bottom w:val="single" w:sz="8" w:space="0" w:color="000000"/>
              <w:right w:val="single" w:sz="8" w:space="0" w:color="000000"/>
            </w:tcBorders>
            <w:tcMar>
              <w:top w:w="0" w:type="dxa"/>
              <w:left w:w="108" w:type="dxa"/>
              <w:bottom w:w="0" w:type="dxa"/>
              <w:right w:w="108" w:type="dxa"/>
            </w:tcMar>
          </w:tcPr>
          <w:p w14:paraId="33A2E6DC" w14:textId="77777777" w:rsidR="00736A3A" w:rsidRDefault="0096329F">
            <w:pPr>
              <w:ind w:left="0" w:hanging="2"/>
              <w:rPr>
                <w:rFonts w:ascii="Arial" w:eastAsia="Arial" w:hAnsi="Arial" w:cs="Arial"/>
                <w:sz w:val="22"/>
                <w:szCs w:val="22"/>
              </w:rPr>
            </w:pPr>
            <w:r>
              <w:rPr>
                <w:rFonts w:ascii="Arial" w:eastAsia="Arial" w:hAnsi="Arial" w:cs="Arial"/>
              </w:rPr>
              <w:t>Pension benefits (to nearest £1000)</w:t>
            </w:r>
            <w:r>
              <w:rPr>
                <w:rFonts w:ascii="Arial" w:eastAsia="Arial" w:hAnsi="Arial" w:cs="Arial"/>
                <w:vertAlign w:val="superscript"/>
              </w:rPr>
              <w:footnoteReference w:id="2"/>
            </w:r>
          </w:p>
        </w:tc>
        <w:tc>
          <w:tcPr>
            <w:tcW w:w="1670" w:type="dxa"/>
            <w:gridSpan w:val="2"/>
            <w:tcBorders>
              <w:top w:val="nil"/>
              <w:left w:val="nil"/>
              <w:bottom w:val="single" w:sz="8" w:space="0" w:color="000000"/>
              <w:right w:val="single" w:sz="8" w:space="0" w:color="000000"/>
            </w:tcBorders>
            <w:tcMar>
              <w:top w:w="0" w:type="dxa"/>
              <w:left w:w="108" w:type="dxa"/>
              <w:bottom w:w="0" w:type="dxa"/>
              <w:right w:w="108" w:type="dxa"/>
            </w:tcMar>
          </w:tcPr>
          <w:p w14:paraId="33A2E6DD" w14:textId="77777777" w:rsidR="00736A3A" w:rsidRDefault="0096329F">
            <w:pPr>
              <w:ind w:left="0" w:hanging="2"/>
              <w:rPr>
                <w:rFonts w:ascii="Arial" w:eastAsia="Arial" w:hAnsi="Arial" w:cs="Arial"/>
                <w:sz w:val="22"/>
                <w:szCs w:val="22"/>
              </w:rPr>
            </w:pPr>
            <w:r>
              <w:rPr>
                <w:rFonts w:ascii="Arial" w:eastAsia="Arial" w:hAnsi="Arial" w:cs="Arial"/>
              </w:rPr>
              <w:t>Total (£’000)</w:t>
            </w:r>
          </w:p>
        </w:tc>
      </w:tr>
      <w:tr w:rsidR="00736A3A" w14:paraId="33A2E6EA" w14:textId="77777777">
        <w:tc>
          <w:tcPr>
            <w:tcW w:w="119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3A2E6DF" w14:textId="77777777" w:rsidR="00736A3A" w:rsidRDefault="00736A3A">
            <w:pPr>
              <w:ind w:left="0" w:hanging="2"/>
              <w:rPr>
                <w:rFonts w:ascii="Arial" w:eastAsia="Arial" w:hAnsi="Arial" w:cs="Arial"/>
                <w:sz w:val="22"/>
                <w:szCs w:val="22"/>
              </w:rPr>
            </w:pPr>
          </w:p>
        </w:tc>
        <w:tc>
          <w:tcPr>
            <w:tcW w:w="838" w:type="dxa"/>
            <w:tcBorders>
              <w:top w:val="nil"/>
              <w:left w:val="nil"/>
              <w:bottom w:val="single" w:sz="8" w:space="0" w:color="000000"/>
              <w:right w:val="single" w:sz="8" w:space="0" w:color="000000"/>
            </w:tcBorders>
            <w:tcMar>
              <w:top w:w="0" w:type="dxa"/>
              <w:left w:w="108" w:type="dxa"/>
              <w:bottom w:w="0" w:type="dxa"/>
              <w:right w:w="108" w:type="dxa"/>
            </w:tcMar>
          </w:tcPr>
          <w:p w14:paraId="33A2E6E0" w14:textId="77777777" w:rsidR="00736A3A" w:rsidRDefault="0096329F">
            <w:pPr>
              <w:ind w:left="0" w:hanging="2"/>
              <w:rPr>
                <w:rFonts w:ascii="Arial" w:eastAsia="Arial" w:hAnsi="Arial" w:cs="Arial"/>
                <w:sz w:val="16"/>
                <w:szCs w:val="16"/>
              </w:rPr>
            </w:pPr>
            <w:r>
              <w:rPr>
                <w:rFonts w:ascii="Arial" w:eastAsia="Arial" w:hAnsi="Arial" w:cs="Arial"/>
                <w:sz w:val="16"/>
                <w:szCs w:val="16"/>
              </w:rPr>
              <w:t>2024-25</w:t>
            </w:r>
          </w:p>
        </w:tc>
        <w:tc>
          <w:tcPr>
            <w:tcW w:w="839" w:type="dxa"/>
            <w:tcBorders>
              <w:top w:val="nil"/>
              <w:left w:val="nil"/>
              <w:bottom w:val="single" w:sz="8" w:space="0" w:color="000000"/>
              <w:right w:val="single" w:sz="8" w:space="0" w:color="000000"/>
            </w:tcBorders>
            <w:tcMar>
              <w:top w:w="0" w:type="dxa"/>
              <w:left w:w="108" w:type="dxa"/>
              <w:bottom w:w="0" w:type="dxa"/>
              <w:right w:w="108" w:type="dxa"/>
            </w:tcMar>
          </w:tcPr>
          <w:p w14:paraId="33A2E6E1" w14:textId="77777777" w:rsidR="00736A3A" w:rsidRDefault="0096329F">
            <w:pPr>
              <w:ind w:left="0" w:hanging="2"/>
              <w:rPr>
                <w:rFonts w:ascii="Arial" w:eastAsia="Arial" w:hAnsi="Arial" w:cs="Arial"/>
                <w:sz w:val="16"/>
                <w:szCs w:val="16"/>
              </w:rPr>
            </w:pPr>
            <w:r>
              <w:rPr>
                <w:rFonts w:ascii="Arial" w:eastAsia="Arial" w:hAnsi="Arial" w:cs="Arial"/>
                <w:sz w:val="16"/>
                <w:szCs w:val="16"/>
              </w:rPr>
              <w:t>2023-24</w:t>
            </w:r>
          </w:p>
        </w:tc>
        <w:tc>
          <w:tcPr>
            <w:tcW w:w="839" w:type="dxa"/>
            <w:tcBorders>
              <w:top w:val="nil"/>
              <w:left w:val="nil"/>
              <w:bottom w:val="single" w:sz="8" w:space="0" w:color="000000"/>
              <w:right w:val="single" w:sz="8" w:space="0" w:color="000000"/>
            </w:tcBorders>
            <w:tcMar>
              <w:top w:w="0" w:type="dxa"/>
              <w:left w:w="108" w:type="dxa"/>
              <w:bottom w:w="0" w:type="dxa"/>
              <w:right w:w="108" w:type="dxa"/>
            </w:tcMar>
          </w:tcPr>
          <w:p w14:paraId="33A2E6E2" w14:textId="77777777" w:rsidR="00736A3A" w:rsidRDefault="0096329F">
            <w:pPr>
              <w:ind w:left="0" w:hanging="2"/>
              <w:rPr>
                <w:rFonts w:ascii="Arial" w:eastAsia="Arial" w:hAnsi="Arial" w:cs="Arial"/>
                <w:sz w:val="16"/>
                <w:szCs w:val="16"/>
              </w:rPr>
            </w:pPr>
            <w:r>
              <w:rPr>
                <w:rFonts w:ascii="Arial" w:eastAsia="Arial" w:hAnsi="Arial" w:cs="Arial"/>
                <w:sz w:val="16"/>
                <w:szCs w:val="16"/>
              </w:rPr>
              <w:t>2024-25</w:t>
            </w:r>
          </w:p>
        </w:tc>
        <w:tc>
          <w:tcPr>
            <w:tcW w:w="839" w:type="dxa"/>
            <w:tcBorders>
              <w:top w:val="nil"/>
              <w:left w:val="nil"/>
              <w:bottom w:val="single" w:sz="8" w:space="0" w:color="000000"/>
              <w:right w:val="single" w:sz="8" w:space="0" w:color="000000"/>
            </w:tcBorders>
            <w:tcMar>
              <w:top w:w="0" w:type="dxa"/>
              <w:left w:w="108" w:type="dxa"/>
              <w:bottom w:w="0" w:type="dxa"/>
              <w:right w:w="108" w:type="dxa"/>
            </w:tcMar>
          </w:tcPr>
          <w:p w14:paraId="33A2E6E3" w14:textId="77777777" w:rsidR="00736A3A" w:rsidRDefault="0096329F">
            <w:pPr>
              <w:ind w:left="0" w:hanging="2"/>
              <w:rPr>
                <w:rFonts w:ascii="Arial" w:eastAsia="Arial" w:hAnsi="Arial" w:cs="Arial"/>
                <w:sz w:val="16"/>
                <w:szCs w:val="16"/>
              </w:rPr>
            </w:pPr>
            <w:r>
              <w:rPr>
                <w:rFonts w:ascii="Arial" w:eastAsia="Arial" w:hAnsi="Arial" w:cs="Arial"/>
                <w:sz w:val="16"/>
                <w:szCs w:val="16"/>
              </w:rPr>
              <w:t>2023-24</w:t>
            </w:r>
          </w:p>
        </w:tc>
        <w:tc>
          <w:tcPr>
            <w:tcW w:w="839" w:type="dxa"/>
            <w:tcBorders>
              <w:top w:val="nil"/>
              <w:left w:val="nil"/>
              <w:bottom w:val="single" w:sz="8" w:space="0" w:color="000000"/>
              <w:right w:val="single" w:sz="8" w:space="0" w:color="000000"/>
            </w:tcBorders>
            <w:tcMar>
              <w:top w:w="0" w:type="dxa"/>
              <w:left w:w="108" w:type="dxa"/>
              <w:bottom w:w="0" w:type="dxa"/>
              <w:right w:w="108" w:type="dxa"/>
            </w:tcMar>
          </w:tcPr>
          <w:p w14:paraId="33A2E6E4" w14:textId="77777777" w:rsidR="00736A3A" w:rsidRDefault="0096329F">
            <w:pPr>
              <w:ind w:left="0" w:hanging="2"/>
              <w:rPr>
                <w:rFonts w:ascii="Arial" w:eastAsia="Arial" w:hAnsi="Arial" w:cs="Arial"/>
                <w:sz w:val="16"/>
                <w:szCs w:val="16"/>
              </w:rPr>
            </w:pPr>
            <w:r>
              <w:rPr>
                <w:rFonts w:ascii="Arial" w:eastAsia="Arial" w:hAnsi="Arial" w:cs="Arial"/>
                <w:sz w:val="16"/>
                <w:szCs w:val="16"/>
              </w:rPr>
              <w:t>2024-25</w:t>
            </w:r>
          </w:p>
        </w:tc>
        <w:tc>
          <w:tcPr>
            <w:tcW w:w="839" w:type="dxa"/>
            <w:tcBorders>
              <w:top w:val="nil"/>
              <w:left w:val="nil"/>
              <w:bottom w:val="single" w:sz="8" w:space="0" w:color="000000"/>
              <w:right w:val="single" w:sz="8" w:space="0" w:color="000000"/>
            </w:tcBorders>
            <w:tcMar>
              <w:top w:w="0" w:type="dxa"/>
              <w:left w:w="108" w:type="dxa"/>
              <w:bottom w:w="0" w:type="dxa"/>
              <w:right w:w="108" w:type="dxa"/>
            </w:tcMar>
          </w:tcPr>
          <w:p w14:paraId="33A2E6E5" w14:textId="77777777" w:rsidR="00736A3A" w:rsidRDefault="0096329F">
            <w:pPr>
              <w:ind w:left="0" w:hanging="2"/>
              <w:rPr>
                <w:rFonts w:ascii="Arial" w:eastAsia="Arial" w:hAnsi="Arial" w:cs="Arial"/>
                <w:sz w:val="16"/>
                <w:szCs w:val="16"/>
              </w:rPr>
            </w:pPr>
            <w:r>
              <w:rPr>
                <w:rFonts w:ascii="Arial" w:eastAsia="Arial" w:hAnsi="Arial" w:cs="Arial"/>
                <w:sz w:val="16"/>
                <w:szCs w:val="16"/>
              </w:rPr>
              <w:t>2023-24</w:t>
            </w:r>
          </w:p>
        </w:tc>
        <w:tc>
          <w:tcPr>
            <w:tcW w:w="839" w:type="dxa"/>
            <w:tcBorders>
              <w:top w:val="nil"/>
              <w:left w:val="nil"/>
              <w:bottom w:val="single" w:sz="8" w:space="0" w:color="000000"/>
              <w:right w:val="single" w:sz="8" w:space="0" w:color="000000"/>
            </w:tcBorders>
            <w:tcMar>
              <w:top w:w="0" w:type="dxa"/>
              <w:left w:w="108" w:type="dxa"/>
              <w:bottom w:w="0" w:type="dxa"/>
              <w:right w:w="108" w:type="dxa"/>
            </w:tcMar>
          </w:tcPr>
          <w:p w14:paraId="33A2E6E6" w14:textId="77777777" w:rsidR="00736A3A" w:rsidRDefault="0096329F">
            <w:pPr>
              <w:ind w:left="0" w:hanging="2"/>
              <w:rPr>
                <w:rFonts w:ascii="Arial" w:eastAsia="Arial" w:hAnsi="Arial" w:cs="Arial"/>
                <w:sz w:val="16"/>
                <w:szCs w:val="16"/>
              </w:rPr>
            </w:pPr>
            <w:r>
              <w:rPr>
                <w:rFonts w:ascii="Arial" w:eastAsia="Arial" w:hAnsi="Arial" w:cs="Arial"/>
                <w:sz w:val="16"/>
                <w:szCs w:val="16"/>
              </w:rPr>
              <w:t>2024-25</w:t>
            </w:r>
          </w:p>
        </w:tc>
        <w:tc>
          <w:tcPr>
            <w:tcW w:w="839" w:type="dxa"/>
            <w:tcBorders>
              <w:top w:val="nil"/>
              <w:left w:val="nil"/>
              <w:bottom w:val="single" w:sz="8" w:space="0" w:color="000000"/>
              <w:right w:val="single" w:sz="8" w:space="0" w:color="000000"/>
            </w:tcBorders>
            <w:tcMar>
              <w:top w:w="0" w:type="dxa"/>
              <w:left w:w="108" w:type="dxa"/>
              <w:bottom w:w="0" w:type="dxa"/>
              <w:right w:w="108" w:type="dxa"/>
            </w:tcMar>
          </w:tcPr>
          <w:p w14:paraId="33A2E6E7" w14:textId="77777777" w:rsidR="00736A3A" w:rsidRDefault="0096329F">
            <w:pPr>
              <w:ind w:left="0" w:hanging="2"/>
              <w:rPr>
                <w:rFonts w:ascii="Arial" w:eastAsia="Arial" w:hAnsi="Arial" w:cs="Arial"/>
                <w:sz w:val="16"/>
                <w:szCs w:val="16"/>
              </w:rPr>
            </w:pPr>
            <w:r>
              <w:rPr>
                <w:rFonts w:ascii="Arial" w:eastAsia="Arial" w:hAnsi="Arial" w:cs="Arial"/>
                <w:sz w:val="16"/>
                <w:szCs w:val="16"/>
              </w:rPr>
              <w:t>2023-24</w:t>
            </w:r>
            <w:r>
              <w:rPr>
                <w:rFonts w:ascii="Arial" w:eastAsia="Arial" w:hAnsi="Arial" w:cs="Arial"/>
                <w:sz w:val="16"/>
                <w:szCs w:val="16"/>
                <w:vertAlign w:val="superscript"/>
              </w:rPr>
              <w:footnoteReference w:id="3"/>
            </w:r>
          </w:p>
        </w:tc>
        <w:tc>
          <w:tcPr>
            <w:tcW w:w="839" w:type="dxa"/>
            <w:tcBorders>
              <w:top w:val="nil"/>
              <w:left w:val="nil"/>
              <w:bottom w:val="single" w:sz="8" w:space="0" w:color="000000"/>
              <w:right w:val="single" w:sz="8" w:space="0" w:color="000000"/>
            </w:tcBorders>
            <w:tcMar>
              <w:top w:w="0" w:type="dxa"/>
              <w:left w:w="108" w:type="dxa"/>
              <w:bottom w:w="0" w:type="dxa"/>
              <w:right w:w="108" w:type="dxa"/>
            </w:tcMar>
          </w:tcPr>
          <w:p w14:paraId="33A2E6E8" w14:textId="77777777" w:rsidR="00736A3A" w:rsidRDefault="0096329F">
            <w:pPr>
              <w:ind w:left="0" w:hanging="2"/>
              <w:rPr>
                <w:rFonts w:ascii="Arial" w:eastAsia="Arial" w:hAnsi="Arial" w:cs="Arial"/>
                <w:sz w:val="16"/>
                <w:szCs w:val="16"/>
              </w:rPr>
            </w:pPr>
            <w:r>
              <w:rPr>
                <w:rFonts w:ascii="Arial" w:eastAsia="Arial" w:hAnsi="Arial" w:cs="Arial"/>
                <w:sz w:val="16"/>
                <w:szCs w:val="16"/>
              </w:rPr>
              <w:t>2024-25</w:t>
            </w:r>
          </w:p>
        </w:tc>
        <w:tc>
          <w:tcPr>
            <w:tcW w:w="831" w:type="dxa"/>
            <w:tcBorders>
              <w:top w:val="nil"/>
              <w:left w:val="nil"/>
              <w:bottom w:val="single" w:sz="8" w:space="0" w:color="000000"/>
              <w:right w:val="single" w:sz="8" w:space="0" w:color="000000"/>
            </w:tcBorders>
            <w:tcMar>
              <w:top w:w="0" w:type="dxa"/>
              <w:left w:w="108" w:type="dxa"/>
              <w:bottom w:w="0" w:type="dxa"/>
              <w:right w:w="108" w:type="dxa"/>
            </w:tcMar>
          </w:tcPr>
          <w:p w14:paraId="33A2E6E9" w14:textId="77777777" w:rsidR="00736A3A" w:rsidRDefault="0096329F">
            <w:pPr>
              <w:ind w:left="0" w:hanging="2"/>
              <w:rPr>
                <w:rFonts w:ascii="Arial" w:eastAsia="Arial" w:hAnsi="Arial" w:cs="Arial"/>
                <w:sz w:val="16"/>
                <w:szCs w:val="16"/>
              </w:rPr>
            </w:pPr>
            <w:r>
              <w:rPr>
                <w:rFonts w:ascii="Arial" w:eastAsia="Arial" w:hAnsi="Arial" w:cs="Arial"/>
                <w:sz w:val="16"/>
                <w:szCs w:val="16"/>
              </w:rPr>
              <w:t>2023-24</w:t>
            </w:r>
          </w:p>
        </w:tc>
      </w:tr>
      <w:tr w:rsidR="00736A3A" w14:paraId="33A2E6F6" w14:textId="77777777">
        <w:tc>
          <w:tcPr>
            <w:tcW w:w="119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3A2E6EB" w14:textId="77777777" w:rsidR="00736A3A" w:rsidRDefault="0096329F">
            <w:pPr>
              <w:ind w:left="0" w:hanging="2"/>
              <w:rPr>
                <w:rFonts w:ascii="Arial" w:eastAsia="Arial" w:hAnsi="Arial" w:cs="Arial"/>
              </w:rPr>
            </w:pPr>
            <w:r>
              <w:rPr>
                <w:rFonts w:ascii="Arial" w:eastAsia="Arial" w:hAnsi="Arial" w:cs="Arial"/>
              </w:rPr>
              <w:t>Permanent Secretary</w:t>
            </w:r>
          </w:p>
        </w:tc>
        <w:tc>
          <w:tcPr>
            <w:tcW w:w="838" w:type="dxa"/>
            <w:tcBorders>
              <w:top w:val="nil"/>
              <w:left w:val="nil"/>
              <w:bottom w:val="single" w:sz="8" w:space="0" w:color="000000"/>
              <w:right w:val="single" w:sz="8" w:space="0" w:color="000000"/>
            </w:tcBorders>
            <w:tcMar>
              <w:top w:w="0" w:type="dxa"/>
              <w:left w:w="108" w:type="dxa"/>
              <w:bottom w:w="0" w:type="dxa"/>
              <w:right w:w="108" w:type="dxa"/>
            </w:tcMar>
          </w:tcPr>
          <w:p w14:paraId="33A2E6EC" w14:textId="77777777" w:rsidR="00736A3A" w:rsidRDefault="0096329F">
            <w:pPr>
              <w:ind w:left="0" w:hanging="2"/>
              <w:rPr>
                <w:rFonts w:ascii="Arial" w:eastAsia="Arial" w:hAnsi="Arial" w:cs="Arial"/>
              </w:rPr>
            </w:pPr>
            <w:r>
              <w:rPr>
                <w:rFonts w:ascii="Arial" w:eastAsia="Arial" w:hAnsi="Arial" w:cs="Arial"/>
              </w:rPr>
              <w:t>170-175</w:t>
            </w:r>
          </w:p>
        </w:tc>
        <w:tc>
          <w:tcPr>
            <w:tcW w:w="839" w:type="dxa"/>
            <w:tcBorders>
              <w:top w:val="nil"/>
              <w:left w:val="nil"/>
              <w:bottom w:val="single" w:sz="8" w:space="0" w:color="000000"/>
              <w:right w:val="single" w:sz="8" w:space="0" w:color="000000"/>
            </w:tcBorders>
            <w:tcMar>
              <w:top w:w="0" w:type="dxa"/>
              <w:left w:w="108" w:type="dxa"/>
              <w:bottom w:w="0" w:type="dxa"/>
              <w:right w:w="108" w:type="dxa"/>
            </w:tcMar>
          </w:tcPr>
          <w:p w14:paraId="33A2E6ED" w14:textId="77777777" w:rsidR="00736A3A" w:rsidRDefault="0096329F">
            <w:pPr>
              <w:ind w:left="0" w:hanging="2"/>
              <w:rPr>
                <w:rFonts w:ascii="Arial" w:eastAsia="Arial" w:hAnsi="Arial" w:cs="Arial"/>
              </w:rPr>
            </w:pPr>
            <w:r>
              <w:rPr>
                <w:rFonts w:ascii="Arial" w:eastAsia="Arial" w:hAnsi="Arial" w:cs="Arial"/>
              </w:rPr>
              <w:t>165-170</w:t>
            </w:r>
          </w:p>
        </w:tc>
        <w:tc>
          <w:tcPr>
            <w:tcW w:w="839" w:type="dxa"/>
            <w:tcBorders>
              <w:top w:val="nil"/>
              <w:left w:val="nil"/>
              <w:bottom w:val="single" w:sz="8" w:space="0" w:color="000000"/>
              <w:right w:val="single" w:sz="8" w:space="0" w:color="000000"/>
            </w:tcBorders>
            <w:tcMar>
              <w:top w:w="0" w:type="dxa"/>
              <w:left w:w="108" w:type="dxa"/>
              <w:bottom w:w="0" w:type="dxa"/>
              <w:right w:w="108" w:type="dxa"/>
            </w:tcMar>
          </w:tcPr>
          <w:p w14:paraId="33A2E6EE" w14:textId="77777777" w:rsidR="00736A3A" w:rsidRDefault="0096329F">
            <w:pPr>
              <w:ind w:left="0" w:hanging="2"/>
              <w:rPr>
                <w:rFonts w:ascii="Arial" w:eastAsia="Arial" w:hAnsi="Arial" w:cs="Arial"/>
              </w:rPr>
            </w:pPr>
            <w:r>
              <w:rPr>
                <w:rFonts w:ascii="Arial" w:eastAsia="Arial" w:hAnsi="Arial" w:cs="Arial"/>
              </w:rPr>
              <w:t>5-10</w:t>
            </w:r>
          </w:p>
        </w:tc>
        <w:tc>
          <w:tcPr>
            <w:tcW w:w="839" w:type="dxa"/>
            <w:tcBorders>
              <w:top w:val="nil"/>
              <w:left w:val="nil"/>
              <w:bottom w:val="single" w:sz="8" w:space="0" w:color="000000"/>
              <w:right w:val="single" w:sz="8" w:space="0" w:color="000000"/>
            </w:tcBorders>
            <w:tcMar>
              <w:top w:w="0" w:type="dxa"/>
              <w:left w:w="108" w:type="dxa"/>
              <w:bottom w:w="0" w:type="dxa"/>
              <w:right w:w="108" w:type="dxa"/>
            </w:tcMar>
          </w:tcPr>
          <w:p w14:paraId="33A2E6EF" w14:textId="77777777" w:rsidR="00736A3A" w:rsidRDefault="0096329F">
            <w:pPr>
              <w:ind w:left="0" w:hanging="2"/>
              <w:rPr>
                <w:rFonts w:ascii="Arial" w:eastAsia="Arial" w:hAnsi="Arial" w:cs="Arial"/>
              </w:rPr>
            </w:pPr>
            <w:r>
              <w:rPr>
                <w:rFonts w:ascii="Arial" w:eastAsia="Arial" w:hAnsi="Arial" w:cs="Arial"/>
              </w:rPr>
              <w:t>5-10</w:t>
            </w:r>
          </w:p>
        </w:tc>
        <w:tc>
          <w:tcPr>
            <w:tcW w:w="839" w:type="dxa"/>
            <w:tcBorders>
              <w:top w:val="nil"/>
              <w:left w:val="nil"/>
              <w:bottom w:val="single" w:sz="8" w:space="0" w:color="000000"/>
              <w:right w:val="single" w:sz="8" w:space="0" w:color="000000"/>
            </w:tcBorders>
            <w:tcMar>
              <w:top w:w="0" w:type="dxa"/>
              <w:left w:w="108" w:type="dxa"/>
              <w:bottom w:w="0" w:type="dxa"/>
              <w:right w:w="108" w:type="dxa"/>
            </w:tcMar>
          </w:tcPr>
          <w:p w14:paraId="33A2E6F0" w14:textId="77777777" w:rsidR="00736A3A" w:rsidRDefault="0096329F">
            <w:pPr>
              <w:ind w:left="0" w:hanging="2"/>
              <w:rPr>
                <w:rFonts w:ascii="Arial" w:eastAsia="Arial" w:hAnsi="Arial" w:cs="Arial"/>
              </w:rPr>
            </w:pPr>
            <w:r>
              <w:rPr>
                <w:rFonts w:ascii="Arial" w:eastAsia="Arial" w:hAnsi="Arial" w:cs="Arial"/>
              </w:rPr>
              <w:t>4,000</w:t>
            </w:r>
          </w:p>
        </w:tc>
        <w:tc>
          <w:tcPr>
            <w:tcW w:w="839" w:type="dxa"/>
            <w:tcBorders>
              <w:top w:val="nil"/>
              <w:left w:val="nil"/>
              <w:bottom w:val="single" w:sz="8" w:space="0" w:color="000000"/>
              <w:right w:val="single" w:sz="8" w:space="0" w:color="000000"/>
            </w:tcBorders>
            <w:tcMar>
              <w:top w:w="0" w:type="dxa"/>
              <w:left w:w="108" w:type="dxa"/>
              <w:bottom w:w="0" w:type="dxa"/>
              <w:right w:w="108" w:type="dxa"/>
            </w:tcMar>
          </w:tcPr>
          <w:p w14:paraId="33A2E6F1" w14:textId="77777777" w:rsidR="00736A3A" w:rsidRDefault="0096329F">
            <w:pPr>
              <w:ind w:left="0" w:hanging="2"/>
              <w:rPr>
                <w:rFonts w:ascii="Arial" w:eastAsia="Arial" w:hAnsi="Arial" w:cs="Arial"/>
              </w:rPr>
            </w:pPr>
            <w:r>
              <w:rPr>
                <w:rFonts w:ascii="Arial" w:eastAsia="Arial" w:hAnsi="Arial" w:cs="Arial"/>
              </w:rPr>
              <w:t>3,900</w:t>
            </w:r>
          </w:p>
        </w:tc>
        <w:tc>
          <w:tcPr>
            <w:tcW w:w="839" w:type="dxa"/>
            <w:tcBorders>
              <w:top w:val="nil"/>
              <w:left w:val="nil"/>
              <w:bottom w:val="single" w:sz="8" w:space="0" w:color="000000"/>
              <w:right w:val="single" w:sz="8" w:space="0" w:color="000000"/>
            </w:tcBorders>
            <w:tcMar>
              <w:top w:w="0" w:type="dxa"/>
              <w:left w:w="108" w:type="dxa"/>
              <w:bottom w:w="0" w:type="dxa"/>
              <w:right w:w="108" w:type="dxa"/>
            </w:tcMar>
          </w:tcPr>
          <w:p w14:paraId="33A2E6F2" w14:textId="77777777" w:rsidR="00736A3A" w:rsidRDefault="0096329F">
            <w:pPr>
              <w:ind w:left="0" w:hanging="2"/>
              <w:rPr>
                <w:rFonts w:ascii="Arial" w:eastAsia="Arial" w:hAnsi="Arial" w:cs="Arial"/>
              </w:rPr>
            </w:pPr>
            <w:r>
              <w:rPr>
                <w:rFonts w:ascii="Arial" w:eastAsia="Arial" w:hAnsi="Arial" w:cs="Arial"/>
              </w:rPr>
              <w:t>34,000</w:t>
            </w:r>
          </w:p>
        </w:tc>
        <w:tc>
          <w:tcPr>
            <w:tcW w:w="839" w:type="dxa"/>
            <w:tcBorders>
              <w:top w:val="nil"/>
              <w:left w:val="nil"/>
              <w:bottom w:val="single" w:sz="8" w:space="0" w:color="000000"/>
              <w:right w:val="single" w:sz="8" w:space="0" w:color="000000"/>
            </w:tcBorders>
            <w:tcMar>
              <w:top w:w="0" w:type="dxa"/>
              <w:left w:w="108" w:type="dxa"/>
              <w:bottom w:w="0" w:type="dxa"/>
              <w:right w:w="108" w:type="dxa"/>
            </w:tcMar>
          </w:tcPr>
          <w:p w14:paraId="33A2E6F3" w14:textId="77777777" w:rsidR="00736A3A" w:rsidRDefault="0096329F">
            <w:pPr>
              <w:ind w:left="0" w:hanging="2"/>
              <w:rPr>
                <w:rFonts w:ascii="Arial" w:eastAsia="Arial" w:hAnsi="Arial" w:cs="Arial"/>
              </w:rPr>
            </w:pPr>
            <w:r>
              <w:rPr>
                <w:rFonts w:ascii="Arial" w:eastAsia="Arial" w:hAnsi="Arial" w:cs="Arial"/>
              </w:rPr>
              <w:t>32,000</w:t>
            </w:r>
          </w:p>
        </w:tc>
        <w:tc>
          <w:tcPr>
            <w:tcW w:w="839" w:type="dxa"/>
            <w:tcBorders>
              <w:top w:val="nil"/>
              <w:left w:val="nil"/>
              <w:bottom w:val="single" w:sz="8" w:space="0" w:color="000000"/>
              <w:right w:val="single" w:sz="8" w:space="0" w:color="000000"/>
            </w:tcBorders>
            <w:tcMar>
              <w:top w:w="0" w:type="dxa"/>
              <w:left w:w="108" w:type="dxa"/>
              <w:bottom w:w="0" w:type="dxa"/>
              <w:right w:w="108" w:type="dxa"/>
            </w:tcMar>
          </w:tcPr>
          <w:p w14:paraId="33A2E6F4" w14:textId="77777777" w:rsidR="00736A3A" w:rsidRDefault="0096329F">
            <w:pPr>
              <w:ind w:left="0" w:hanging="2"/>
              <w:rPr>
                <w:rFonts w:ascii="Arial" w:eastAsia="Arial" w:hAnsi="Arial" w:cs="Arial"/>
              </w:rPr>
            </w:pPr>
            <w:r>
              <w:rPr>
                <w:rFonts w:ascii="Arial" w:eastAsia="Arial" w:hAnsi="Arial" w:cs="Arial"/>
              </w:rPr>
              <w:t>210-215</w:t>
            </w:r>
          </w:p>
        </w:tc>
        <w:tc>
          <w:tcPr>
            <w:tcW w:w="831" w:type="dxa"/>
            <w:tcBorders>
              <w:top w:val="nil"/>
              <w:left w:val="nil"/>
              <w:bottom w:val="single" w:sz="8" w:space="0" w:color="000000"/>
              <w:right w:val="single" w:sz="8" w:space="0" w:color="000000"/>
            </w:tcBorders>
            <w:tcMar>
              <w:top w:w="0" w:type="dxa"/>
              <w:left w:w="108" w:type="dxa"/>
              <w:bottom w:w="0" w:type="dxa"/>
              <w:right w:w="108" w:type="dxa"/>
            </w:tcMar>
          </w:tcPr>
          <w:p w14:paraId="33A2E6F5" w14:textId="77777777" w:rsidR="00736A3A" w:rsidRDefault="0096329F">
            <w:pPr>
              <w:ind w:left="0" w:hanging="2"/>
              <w:rPr>
                <w:rFonts w:ascii="Arial" w:eastAsia="Arial" w:hAnsi="Arial" w:cs="Arial"/>
              </w:rPr>
            </w:pPr>
            <w:r>
              <w:rPr>
                <w:rFonts w:ascii="Arial" w:eastAsia="Arial" w:hAnsi="Arial" w:cs="Arial"/>
              </w:rPr>
              <w:t>210-215</w:t>
            </w:r>
          </w:p>
        </w:tc>
      </w:tr>
      <w:tr w:rsidR="00736A3A" w14:paraId="33A2E702" w14:textId="77777777">
        <w:tc>
          <w:tcPr>
            <w:tcW w:w="1195" w:type="dxa"/>
            <w:tcBorders>
              <w:top w:val="nil"/>
              <w:left w:val="single" w:sz="8" w:space="0" w:color="000000"/>
              <w:bottom w:val="single" w:sz="4" w:space="0" w:color="000000"/>
              <w:right w:val="single" w:sz="8" w:space="0" w:color="000000"/>
            </w:tcBorders>
            <w:tcMar>
              <w:top w:w="0" w:type="dxa"/>
              <w:left w:w="108" w:type="dxa"/>
              <w:bottom w:w="0" w:type="dxa"/>
              <w:right w:w="108" w:type="dxa"/>
            </w:tcMar>
          </w:tcPr>
          <w:p w14:paraId="33A2E6F7" w14:textId="77777777" w:rsidR="00736A3A" w:rsidRDefault="0096329F">
            <w:pPr>
              <w:ind w:left="0" w:hanging="2"/>
              <w:rPr>
                <w:rFonts w:ascii="Arial" w:eastAsia="Arial" w:hAnsi="Arial" w:cs="Arial"/>
              </w:rPr>
            </w:pPr>
            <w:r>
              <w:rPr>
                <w:rFonts w:ascii="Arial" w:eastAsia="Arial" w:hAnsi="Arial" w:cs="Arial"/>
              </w:rPr>
              <w:t>Director General</w:t>
            </w:r>
          </w:p>
        </w:tc>
        <w:tc>
          <w:tcPr>
            <w:tcW w:w="838" w:type="dxa"/>
            <w:tcBorders>
              <w:top w:val="nil"/>
              <w:left w:val="nil"/>
              <w:bottom w:val="single" w:sz="4" w:space="0" w:color="000000"/>
              <w:right w:val="single" w:sz="8" w:space="0" w:color="000000"/>
            </w:tcBorders>
            <w:tcMar>
              <w:top w:w="0" w:type="dxa"/>
              <w:left w:w="108" w:type="dxa"/>
              <w:bottom w:w="0" w:type="dxa"/>
              <w:right w:w="108" w:type="dxa"/>
            </w:tcMar>
          </w:tcPr>
          <w:p w14:paraId="33A2E6F8" w14:textId="77777777" w:rsidR="00736A3A" w:rsidRDefault="0096329F">
            <w:pPr>
              <w:ind w:left="0" w:hanging="2"/>
              <w:rPr>
                <w:rFonts w:ascii="Arial" w:eastAsia="Arial" w:hAnsi="Arial" w:cs="Arial"/>
              </w:rPr>
            </w:pPr>
            <w:r>
              <w:rPr>
                <w:rFonts w:ascii="Arial" w:eastAsia="Arial" w:hAnsi="Arial" w:cs="Arial"/>
              </w:rPr>
              <w:t>130-135</w:t>
            </w:r>
          </w:p>
        </w:tc>
        <w:tc>
          <w:tcPr>
            <w:tcW w:w="839" w:type="dxa"/>
            <w:tcBorders>
              <w:top w:val="nil"/>
              <w:left w:val="nil"/>
              <w:bottom w:val="single" w:sz="4" w:space="0" w:color="000000"/>
              <w:right w:val="single" w:sz="8" w:space="0" w:color="000000"/>
            </w:tcBorders>
            <w:tcMar>
              <w:top w:w="0" w:type="dxa"/>
              <w:left w:w="108" w:type="dxa"/>
              <w:bottom w:w="0" w:type="dxa"/>
              <w:right w:w="108" w:type="dxa"/>
            </w:tcMar>
          </w:tcPr>
          <w:p w14:paraId="33A2E6F9" w14:textId="77777777" w:rsidR="00736A3A" w:rsidRDefault="0096329F">
            <w:pPr>
              <w:ind w:left="0" w:hanging="2"/>
              <w:rPr>
                <w:rFonts w:ascii="Arial" w:eastAsia="Arial" w:hAnsi="Arial" w:cs="Arial"/>
              </w:rPr>
            </w:pPr>
            <w:r>
              <w:rPr>
                <w:rFonts w:ascii="Arial" w:eastAsia="Arial" w:hAnsi="Arial" w:cs="Arial"/>
              </w:rPr>
              <w:t>130-135</w:t>
            </w:r>
          </w:p>
        </w:tc>
        <w:tc>
          <w:tcPr>
            <w:tcW w:w="839" w:type="dxa"/>
            <w:tcBorders>
              <w:top w:val="nil"/>
              <w:left w:val="nil"/>
              <w:bottom w:val="single" w:sz="4" w:space="0" w:color="000000"/>
              <w:right w:val="single" w:sz="8" w:space="0" w:color="000000"/>
            </w:tcBorders>
            <w:tcMar>
              <w:top w:w="0" w:type="dxa"/>
              <w:left w:w="108" w:type="dxa"/>
              <w:bottom w:w="0" w:type="dxa"/>
              <w:right w:w="108" w:type="dxa"/>
            </w:tcMar>
          </w:tcPr>
          <w:p w14:paraId="33A2E6FA" w14:textId="77777777" w:rsidR="00736A3A" w:rsidRDefault="0096329F">
            <w:pPr>
              <w:ind w:left="0" w:hanging="2"/>
              <w:rPr>
                <w:rFonts w:ascii="Arial" w:eastAsia="Arial" w:hAnsi="Arial" w:cs="Arial"/>
              </w:rPr>
            </w:pPr>
            <w:r>
              <w:rPr>
                <w:rFonts w:ascii="Arial" w:eastAsia="Arial" w:hAnsi="Arial" w:cs="Arial"/>
              </w:rPr>
              <w:t>0-5</w:t>
            </w:r>
          </w:p>
        </w:tc>
        <w:tc>
          <w:tcPr>
            <w:tcW w:w="839" w:type="dxa"/>
            <w:tcBorders>
              <w:top w:val="nil"/>
              <w:left w:val="nil"/>
              <w:bottom w:val="single" w:sz="4" w:space="0" w:color="000000"/>
              <w:right w:val="single" w:sz="8" w:space="0" w:color="000000"/>
            </w:tcBorders>
            <w:tcMar>
              <w:top w:w="0" w:type="dxa"/>
              <w:left w:w="108" w:type="dxa"/>
              <w:bottom w:w="0" w:type="dxa"/>
              <w:right w:w="108" w:type="dxa"/>
            </w:tcMar>
          </w:tcPr>
          <w:p w14:paraId="33A2E6FB" w14:textId="77777777" w:rsidR="00736A3A" w:rsidRDefault="0096329F">
            <w:pPr>
              <w:ind w:left="0" w:hanging="2"/>
              <w:rPr>
                <w:rFonts w:ascii="Arial" w:eastAsia="Arial" w:hAnsi="Arial" w:cs="Arial"/>
              </w:rPr>
            </w:pPr>
            <w:r>
              <w:rPr>
                <w:rFonts w:ascii="Arial" w:eastAsia="Arial" w:hAnsi="Arial" w:cs="Arial"/>
              </w:rPr>
              <w:t>0-5</w:t>
            </w:r>
          </w:p>
        </w:tc>
        <w:tc>
          <w:tcPr>
            <w:tcW w:w="839" w:type="dxa"/>
            <w:tcBorders>
              <w:top w:val="nil"/>
              <w:left w:val="nil"/>
              <w:bottom w:val="single" w:sz="4" w:space="0" w:color="000000"/>
              <w:right w:val="single" w:sz="8" w:space="0" w:color="000000"/>
            </w:tcBorders>
            <w:tcMar>
              <w:top w:w="0" w:type="dxa"/>
              <w:left w:w="108" w:type="dxa"/>
              <w:bottom w:w="0" w:type="dxa"/>
              <w:right w:w="108" w:type="dxa"/>
            </w:tcMar>
          </w:tcPr>
          <w:p w14:paraId="33A2E6FC" w14:textId="77777777" w:rsidR="00736A3A" w:rsidRDefault="0096329F">
            <w:pPr>
              <w:ind w:left="0" w:hanging="2"/>
              <w:rPr>
                <w:rFonts w:ascii="Arial" w:eastAsia="Arial" w:hAnsi="Arial" w:cs="Arial"/>
              </w:rPr>
            </w:pPr>
            <w:r>
              <w:rPr>
                <w:rFonts w:ascii="Arial" w:eastAsia="Arial" w:hAnsi="Arial" w:cs="Arial"/>
              </w:rPr>
              <w:t>-</w:t>
            </w:r>
          </w:p>
        </w:tc>
        <w:tc>
          <w:tcPr>
            <w:tcW w:w="839" w:type="dxa"/>
            <w:tcBorders>
              <w:top w:val="nil"/>
              <w:left w:val="nil"/>
              <w:bottom w:val="single" w:sz="4" w:space="0" w:color="000000"/>
              <w:right w:val="single" w:sz="8" w:space="0" w:color="000000"/>
            </w:tcBorders>
            <w:tcMar>
              <w:top w:w="0" w:type="dxa"/>
              <w:left w:w="108" w:type="dxa"/>
              <w:bottom w:w="0" w:type="dxa"/>
              <w:right w:w="108" w:type="dxa"/>
            </w:tcMar>
          </w:tcPr>
          <w:p w14:paraId="33A2E6FD" w14:textId="77777777" w:rsidR="00736A3A" w:rsidRDefault="0096329F">
            <w:pPr>
              <w:ind w:left="0" w:hanging="2"/>
              <w:rPr>
                <w:rFonts w:ascii="Arial" w:eastAsia="Arial" w:hAnsi="Arial" w:cs="Arial"/>
              </w:rPr>
            </w:pPr>
            <w:r>
              <w:rPr>
                <w:rFonts w:ascii="Arial" w:eastAsia="Arial" w:hAnsi="Arial" w:cs="Arial"/>
              </w:rPr>
              <w:t>-</w:t>
            </w:r>
          </w:p>
        </w:tc>
        <w:tc>
          <w:tcPr>
            <w:tcW w:w="839" w:type="dxa"/>
            <w:tcBorders>
              <w:top w:val="nil"/>
              <w:left w:val="nil"/>
              <w:bottom w:val="single" w:sz="4" w:space="0" w:color="000000"/>
              <w:right w:val="single" w:sz="8" w:space="0" w:color="000000"/>
            </w:tcBorders>
            <w:tcMar>
              <w:top w:w="0" w:type="dxa"/>
              <w:left w:w="108" w:type="dxa"/>
              <w:bottom w:w="0" w:type="dxa"/>
              <w:right w:w="108" w:type="dxa"/>
            </w:tcMar>
          </w:tcPr>
          <w:p w14:paraId="33A2E6FE" w14:textId="77777777" w:rsidR="00736A3A" w:rsidRDefault="0096329F">
            <w:pPr>
              <w:ind w:left="0" w:hanging="2"/>
              <w:rPr>
                <w:rFonts w:ascii="Arial" w:eastAsia="Arial" w:hAnsi="Arial" w:cs="Arial"/>
              </w:rPr>
            </w:pPr>
            <w:r>
              <w:rPr>
                <w:rFonts w:ascii="Arial" w:eastAsia="Arial" w:hAnsi="Arial" w:cs="Arial"/>
              </w:rPr>
              <w:t>26,000</w:t>
            </w:r>
          </w:p>
        </w:tc>
        <w:tc>
          <w:tcPr>
            <w:tcW w:w="839" w:type="dxa"/>
            <w:tcBorders>
              <w:top w:val="nil"/>
              <w:left w:val="nil"/>
              <w:bottom w:val="single" w:sz="4" w:space="0" w:color="000000"/>
              <w:right w:val="single" w:sz="8" w:space="0" w:color="000000"/>
            </w:tcBorders>
            <w:tcMar>
              <w:top w:w="0" w:type="dxa"/>
              <w:left w:w="108" w:type="dxa"/>
              <w:bottom w:w="0" w:type="dxa"/>
              <w:right w:w="108" w:type="dxa"/>
            </w:tcMar>
          </w:tcPr>
          <w:p w14:paraId="33A2E6FF" w14:textId="77777777" w:rsidR="00736A3A" w:rsidRDefault="0096329F">
            <w:pPr>
              <w:ind w:left="0" w:hanging="2"/>
              <w:rPr>
                <w:rFonts w:ascii="Arial" w:eastAsia="Arial" w:hAnsi="Arial" w:cs="Arial"/>
              </w:rPr>
            </w:pPr>
            <w:r>
              <w:rPr>
                <w:rFonts w:ascii="Arial" w:eastAsia="Arial" w:hAnsi="Arial" w:cs="Arial"/>
              </w:rPr>
              <w:t>25,000</w:t>
            </w:r>
          </w:p>
        </w:tc>
        <w:tc>
          <w:tcPr>
            <w:tcW w:w="839" w:type="dxa"/>
            <w:tcBorders>
              <w:top w:val="nil"/>
              <w:left w:val="nil"/>
              <w:bottom w:val="single" w:sz="4" w:space="0" w:color="000000"/>
              <w:right w:val="single" w:sz="8" w:space="0" w:color="000000"/>
            </w:tcBorders>
            <w:tcMar>
              <w:top w:w="0" w:type="dxa"/>
              <w:left w:w="108" w:type="dxa"/>
              <w:bottom w:w="0" w:type="dxa"/>
              <w:right w:w="108" w:type="dxa"/>
            </w:tcMar>
          </w:tcPr>
          <w:p w14:paraId="33A2E700" w14:textId="77777777" w:rsidR="00736A3A" w:rsidRDefault="0096329F">
            <w:pPr>
              <w:ind w:left="0" w:hanging="2"/>
              <w:rPr>
                <w:rFonts w:ascii="Arial" w:eastAsia="Arial" w:hAnsi="Arial" w:cs="Arial"/>
              </w:rPr>
            </w:pPr>
            <w:r>
              <w:rPr>
                <w:rFonts w:ascii="Arial" w:eastAsia="Arial" w:hAnsi="Arial" w:cs="Arial"/>
              </w:rPr>
              <w:t>160-165</w:t>
            </w:r>
          </w:p>
        </w:tc>
        <w:tc>
          <w:tcPr>
            <w:tcW w:w="831" w:type="dxa"/>
            <w:tcBorders>
              <w:top w:val="nil"/>
              <w:left w:val="nil"/>
              <w:bottom w:val="single" w:sz="4" w:space="0" w:color="000000"/>
              <w:right w:val="single" w:sz="8" w:space="0" w:color="000000"/>
            </w:tcBorders>
            <w:tcMar>
              <w:top w:w="0" w:type="dxa"/>
              <w:left w:w="108" w:type="dxa"/>
              <w:bottom w:w="0" w:type="dxa"/>
              <w:right w:w="108" w:type="dxa"/>
            </w:tcMar>
          </w:tcPr>
          <w:p w14:paraId="33A2E701" w14:textId="77777777" w:rsidR="00736A3A" w:rsidRDefault="0096329F">
            <w:pPr>
              <w:ind w:left="0" w:hanging="2"/>
              <w:rPr>
                <w:rFonts w:ascii="Arial" w:eastAsia="Arial" w:hAnsi="Arial" w:cs="Arial"/>
              </w:rPr>
            </w:pPr>
            <w:r>
              <w:rPr>
                <w:rFonts w:ascii="Arial" w:eastAsia="Arial" w:hAnsi="Arial" w:cs="Arial"/>
              </w:rPr>
              <w:t>155-160</w:t>
            </w:r>
          </w:p>
        </w:tc>
      </w:tr>
      <w:tr w:rsidR="00736A3A" w14:paraId="33A2E70E" w14:textId="77777777">
        <w:tc>
          <w:tcPr>
            <w:tcW w:w="1195" w:type="dxa"/>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A2E703" w14:textId="77777777" w:rsidR="00736A3A" w:rsidRDefault="0096329F">
            <w:pPr>
              <w:ind w:left="0" w:hanging="2"/>
              <w:rPr>
                <w:rFonts w:ascii="Arial" w:eastAsia="Arial" w:hAnsi="Arial" w:cs="Arial"/>
              </w:rPr>
            </w:pPr>
            <w:r>
              <w:rPr>
                <w:rFonts w:ascii="Arial" w:eastAsia="Arial" w:hAnsi="Arial" w:cs="Arial"/>
              </w:rPr>
              <w:t>Director</w:t>
            </w:r>
          </w:p>
        </w:tc>
        <w:tc>
          <w:tcPr>
            <w:tcW w:w="838" w:type="dxa"/>
            <w:tcBorders>
              <w:top w:val="single" w:sz="4" w:space="0" w:color="000000"/>
              <w:left w:val="nil"/>
              <w:bottom w:val="single" w:sz="8" w:space="0" w:color="000000"/>
              <w:right w:val="single" w:sz="8" w:space="0" w:color="000000"/>
            </w:tcBorders>
            <w:tcMar>
              <w:top w:w="0" w:type="dxa"/>
              <w:left w:w="108" w:type="dxa"/>
              <w:bottom w:w="0" w:type="dxa"/>
              <w:right w:w="108" w:type="dxa"/>
            </w:tcMar>
          </w:tcPr>
          <w:p w14:paraId="33A2E704" w14:textId="77777777" w:rsidR="00736A3A" w:rsidRDefault="0096329F">
            <w:pPr>
              <w:ind w:left="0" w:hanging="2"/>
              <w:rPr>
                <w:rFonts w:ascii="Arial" w:eastAsia="Arial" w:hAnsi="Arial" w:cs="Arial"/>
              </w:rPr>
            </w:pPr>
            <w:r>
              <w:rPr>
                <w:rFonts w:ascii="Arial" w:eastAsia="Arial" w:hAnsi="Arial" w:cs="Arial"/>
              </w:rPr>
              <w:t>110-115</w:t>
            </w:r>
          </w:p>
        </w:tc>
        <w:tc>
          <w:tcPr>
            <w:tcW w:w="839" w:type="dxa"/>
            <w:tcBorders>
              <w:top w:val="single" w:sz="4" w:space="0" w:color="000000"/>
              <w:left w:val="nil"/>
              <w:bottom w:val="single" w:sz="8" w:space="0" w:color="000000"/>
              <w:right w:val="single" w:sz="8" w:space="0" w:color="000000"/>
            </w:tcBorders>
            <w:tcMar>
              <w:top w:w="0" w:type="dxa"/>
              <w:left w:w="108" w:type="dxa"/>
              <w:bottom w:w="0" w:type="dxa"/>
              <w:right w:w="108" w:type="dxa"/>
            </w:tcMar>
          </w:tcPr>
          <w:p w14:paraId="33A2E705" w14:textId="77777777" w:rsidR="00736A3A" w:rsidRDefault="0096329F">
            <w:pPr>
              <w:ind w:left="0" w:hanging="2"/>
              <w:rPr>
                <w:rFonts w:ascii="Arial" w:eastAsia="Arial" w:hAnsi="Arial" w:cs="Arial"/>
              </w:rPr>
            </w:pPr>
            <w:r>
              <w:rPr>
                <w:rFonts w:ascii="Arial" w:eastAsia="Arial" w:hAnsi="Arial" w:cs="Arial"/>
              </w:rPr>
              <w:t>105-110</w:t>
            </w:r>
          </w:p>
        </w:tc>
        <w:tc>
          <w:tcPr>
            <w:tcW w:w="839" w:type="dxa"/>
            <w:tcBorders>
              <w:top w:val="single" w:sz="4" w:space="0" w:color="000000"/>
              <w:left w:val="nil"/>
              <w:bottom w:val="single" w:sz="8" w:space="0" w:color="000000"/>
              <w:right w:val="single" w:sz="8" w:space="0" w:color="000000"/>
            </w:tcBorders>
            <w:tcMar>
              <w:top w:w="0" w:type="dxa"/>
              <w:left w:w="108" w:type="dxa"/>
              <w:bottom w:w="0" w:type="dxa"/>
              <w:right w:w="108" w:type="dxa"/>
            </w:tcMar>
          </w:tcPr>
          <w:p w14:paraId="33A2E706" w14:textId="77777777" w:rsidR="00736A3A" w:rsidRDefault="0096329F">
            <w:pPr>
              <w:ind w:left="0" w:hanging="2"/>
              <w:rPr>
                <w:rFonts w:ascii="Arial" w:eastAsia="Arial" w:hAnsi="Arial" w:cs="Arial"/>
              </w:rPr>
            </w:pPr>
            <w:r>
              <w:rPr>
                <w:rFonts w:ascii="Arial" w:eastAsia="Arial" w:hAnsi="Arial" w:cs="Arial"/>
              </w:rPr>
              <w:t>0-5</w:t>
            </w:r>
          </w:p>
        </w:tc>
        <w:tc>
          <w:tcPr>
            <w:tcW w:w="839" w:type="dxa"/>
            <w:tcBorders>
              <w:top w:val="single" w:sz="4" w:space="0" w:color="000000"/>
              <w:left w:val="nil"/>
              <w:bottom w:val="single" w:sz="8" w:space="0" w:color="000000"/>
              <w:right w:val="single" w:sz="8" w:space="0" w:color="000000"/>
            </w:tcBorders>
            <w:tcMar>
              <w:top w:w="0" w:type="dxa"/>
              <w:left w:w="108" w:type="dxa"/>
              <w:bottom w:w="0" w:type="dxa"/>
              <w:right w:w="108" w:type="dxa"/>
            </w:tcMar>
          </w:tcPr>
          <w:p w14:paraId="33A2E707" w14:textId="77777777" w:rsidR="00736A3A" w:rsidRDefault="0096329F">
            <w:pPr>
              <w:ind w:left="0" w:hanging="2"/>
              <w:rPr>
                <w:rFonts w:ascii="Arial" w:eastAsia="Arial" w:hAnsi="Arial" w:cs="Arial"/>
              </w:rPr>
            </w:pPr>
            <w:r>
              <w:rPr>
                <w:rFonts w:ascii="Arial" w:eastAsia="Arial" w:hAnsi="Arial" w:cs="Arial"/>
              </w:rPr>
              <w:t>0-5</w:t>
            </w:r>
          </w:p>
        </w:tc>
        <w:tc>
          <w:tcPr>
            <w:tcW w:w="839" w:type="dxa"/>
            <w:tcBorders>
              <w:top w:val="single" w:sz="4" w:space="0" w:color="000000"/>
              <w:left w:val="nil"/>
              <w:bottom w:val="single" w:sz="8" w:space="0" w:color="000000"/>
              <w:right w:val="single" w:sz="8" w:space="0" w:color="000000"/>
            </w:tcBorders>
            <w:tcMar>
              <w:top w:w="0" w:type="dxa"/>
              <w:left w:w="108" w:type="dxa"/>
              <w:bottom w:w="0" w:type="dxa"/>
              <w:right w:w="108" w:type="dxa"/>
            </w:tcMar>
          </w:tcPr>
          <w:p w14:paraId="33A2E708" w14:textId="77777777" w:rsidR="00736A3A" w:rsidRDefault="0096329F">
            <w:pPr>
              <w:ind w:left="0" w:hanging="2"/>
              <w:rPr>
                <w:rFonts w:ascii="Arial" w:eastAsia="Arial" w:hAnsi="Arial" w:cs="Arial"/>
              </w:rPr>
            </w:pPr>
            <w:r>
              <w:rPr>
                <w:rFonts w:ascii="Arial" w:eastAsia="Arial" w:hAnsi="Arial" w:cs="Arial"/>
              </w:rPr>
              <w:t>-</w:t>
            </w:r>
          </w:p>
        </w:tc>
        <w:tc>
          <w:tcPr>
            <w:tcW w:w="839" w:type="dxa"/>
            <w:tcBorders>
              <w:top w:val="single" w:sz="4" w:space="0" w:color="000000"/>
              <w:left w:val="nil"/>
              <w:bottom w:val="single" w:sz="8" w:space="0" w:color="000000"/>
              <w:right w:val="single" w:sz="8" w:space="0" w:color="000000"/>
            </w:tcBorders>
            <w:tcMar>
              <w:top w:w="0" w:type="dxa"/>
              <w:left w:w="108" w:type="dxa"/>
              <w:bottom w:w="0" w:type="dxa"/>
              <w:right w:w="108" w:type="dxa"/>
            </w:tcMar>
          </w:tcPr>
          <w:p w14:paraId="33A2E709" w14:textId="77777777" w:rsidR="00736A3A" w:rsidRDefault="0096329F">
            <w:pPr>
              <w:ind w:left="0" w:hanging="2"/>
              <w:rPr>
                <w:rFonts w:ascii="Arial" w:eastAsia="Arial" w:hAnsi="Arial" w:cs="Arial"/>
              </w:rPr>
            </w:pPr>
            <w:r>
              <w:rPr>
                <w:rFonts w:ascii="Arial" w:eastAsia="Arial" w:hAnsi="Arial" w:cs="Arial"/>
              </w:rPr>
              <w:t>-</w:t>
            </w:r>
          </w:p>
        </w:tc>
        <w:tc>
          <w:tcPr>
            <w:tcW w:w="839" w:type="dxa"/>
            <w:tcBorders>
              <w:top w:val="single" w:sz="4" w:space="0" w:color="000000"/>
              <w:left w:val="nil"/>
              <w:bottom w:val="single" w:sz="8" w:space="0" w:color="000000"/>
              <w:right w:val="single" w:sz="8" w:space="0" w:color="000000"/>
            </w:tcBorders>
            <w:tcMar>
              <w:top w:w="0" w:type="dxa"/>
              <w:left w:w="108" w:type="dxa"/>
              <w:bottom w:w="0" w:type="dxa"/>
              <w:right w:w="108" w:type="dxa"/>
            </w:tcMar>
          </w:tcPr>
          <w:p w14:paraId="33A2E70A" w14:textId="77777777" w:rsidR="00736A3A" w:rsidRDefault="0096329F">
            <w:pPr>
              <w:ind w:left="0" w:hanging="2"/>
              <w:rPr>
                <w:rFonts w:ascii="Arial" w:eastAsia="Arial" w:hAnsi="Arial" w:cs="Arial"/>
              </w:rPr>
            </w:pPr>
            <w:r>
              <w:rPr>
                <w:rFonts w:ascii="Arial" w:eastAsia="Arial" w:hAnsi="Arial" w:cs="Arial"/>
              </w:rPr>
              <w:t>24,000</w:t>
            </w:r>
          </w:p>
        </w:tc>
        <w:tc>
          <w:tcPr>
            <w:tcW w:w="839" w:type="dxa"/>
            <w:tcBorders>
              <w:top w:val="single" w:sz="4" w:space="0" w:color="000000"/>
              <w:left w:val="nil"/>
              <w:bottom w:val="single" w:sz="8" w:space="0" w:color="000000"/>
              <w:right w:val="single" w:sz="8" w:space="0" w:color="000000"/>
            </w:tcBorders>
            <w:tcMar>
              <w:top w:w="0" w:type="dxa"/>
              <w:left w:w="108" w:type="dxa"/>
              <w:bottom w:w="0" w:type="dxa"/>
              <w:right w:w="108" w:type="dxa"/>
            </w:tcMar>
          </w:tcPr>
          <w:p w14:paraId="33A2E70B" w14:textId="77777777" w:rsidR="00736A3A" w:rsidRDefault="0096329F">
            <w:pPr>
              <w:ind w:left="0" w:hanging="2"/>
              <w:rPr>
                <w:rFonts w:ascii="Arial" w:eastAsia="Arial" w:hAnsi="Arial" w:cs="Arial"/>
              </w:rPr>
            </w:pPr>
            <w:r>
              <w:rPr>
                <w:rFonts w:ascii="Arial" w:eastAsia="Arial" w:hAnsi="Arial" w:cs="Arial"/>
              </w:rPr>
              <w:t>22,000</w:t>
            </w:r>
          </w:p>
        </w:tc>
        <w:tc>
          <w:tcPr>
            <w:tcW w:w="839" w:type="dxa"/>
            <w:tcBorders>
              <w:top w:val="single" w:sz="4" w:space="0" w:color="000000"/>
              <w:left w:val="nil"/>
              <w:bottom w:val="single" w:sz="8" w:space="0" w:color="000000"/>
              <w:right w:val="single" w:sz="8" w:space="0" w:color="000000"/>
            </w:tcBorders>
            <w:tcMar>
              <w:top w:w="0" w:type="dxa"/>
              <w:left w:w="108" w:type="dxa"/>
              <w:bottom w:w="0" w:type="dxa"/>
              <w:right w:w="108" w:type="dxa"/>
            </w:tcMar>
          </w:tcPr>
          <w:p w14:paraId="33A2E70C" w14:textId="77777777" w:rsidR="00736A3A" w:rsidRDefault="0096329F">
            <w:pPr>
              <w:ind w:left="0" w:hanging="2"/>
              <w:rPr>
                <w:rFonts w:ascii="Arial" w:eastAsia="Arial" w:hAnsi="Arial" w:cs="Arial"/>
              </w:rPr>
            </w:pPr>
            <w:r>
              <w:rPr>
                <w:rFonts w:ascii="Arial" w:eastAsia="Arial" w:hAnsi="Arial" w:cs="Arial"/>
              </w:rPr>
              <w:t>140-145</w:t>
            </w:r>
          </w:p>
        </w:tc>
        <w:tc>
          <w:tcPr>
            <w:tcW w:w="831" w:type="dxa"/>
            <w:tcBorders>
              <w:top w:val="single" w:sz="4" w:space="0" w:color="000000"/>
              <w:left w:val="nil"/>
              <w:bottom w:val="single" w:sz="8" w:space="0" w:color="000000"/>
              <w:right w:val="single" w:sz="8" w:space="0" w:color="000000"/>
            </w:tcBorders>
            <w:tcMar>
              <w:top w:w="0" w:type="dxa"/>
              <w:left w:w="108" w:type="dxa"/>
              <w:bottom w:w="0" w:type="dxa"/>
              <w:right w:w="108" w:type="dxa"/>
            </w:tcMar>
          </w:tcPr>
          <w:p w14:paraId="33A2E70D" w14:textId="77777777" w:rsidR="00736A3A" w:rsidRDefault="0096329F">
            <w:pPr>
              <w:ind w:left="0" w:hanging="2"/>
              <w:rPr>
                <w:rFonts w:ascii="Arial" w:eastAsia="Arial" w:hAnsi="Arial" w:cs="Arial"/>
              </w:rPr>
            </w:pPr>
            <w:r>
              <w:rPr>
                <w:rFonts w:ascii="Arial" w:eastAsia="Arial" w:hAnsi="Arial" w:cs="Arial"/>
              </w:rPr>
              <w:t>135-140</w:t>
            </w:r>
          </w:p>
        </w:tc>
      </w:tr>
    </w:tbl>
    <w:p w14:paraId="33A2E70F" w14:textId="77777777" w:rsidR="00736A3A" w:rsidRDefault="00736A3A">
      <w:pPr>
        <w:ind w:left="0" w:hanging="2"/>
        <w:rPr>
          <w:rFonts w:ascii="Arial" w:eastAsia="Arial" w:hAnsi="Arial" w:cs="Arial"/>
          <w:sz w:val="22"/>
          <w:szCs w:val="22"/>
          <w:u w:val="single"/>
        </w:rPr>
      </w:pPr>
    </w:p>
    <w:p w14:paraId="33A2E710" w14:textId="77777777" w:rsidR="00736A3A" w:rsidRDefault="00736A3A">
      <w:pPr>
        <w:ind w:left="0" w:hanging="2"/>
        <w:rPr>
          <w:rFonts w:ascii="Arial" w:eastAsia="Arial" w:hAnsi="Arial" w:cs="Arial"/>
          <w:sz w:val="22"/>
          <w:szCs w:val="22"/>
          <w:u w:val="single"/>
        </w:rPr>
      </w:pPr>
    </w:p>
    <w:p w14:paraId="33A2E711" w14:textId="77777777" w:rsidR="00736A3A" w:rsidRDefault="0096329F">
      <w:pPr>
        <w:ind w:left="0" w:hanging="2"/>
        <w:rPr>
          <w:rFonts w:ascii="Arial" w:eastAsia="Arial" w:hAnsi="Arial" w:cs="Arial"/>
          <w:sz w:val="22"/>
          <w:szCs w:val="22"/>
          <w:u w:val="single"/>
        </w:rPr>
      </w:pPr>
      <w:r>
        <w:rPr>
          <w:rFonts w:ascii="Arial" w:eastAsia="Arial" w:hAnsi="Arial" w:cs="Arial"/>
          <w:b/>
          <w:sz w:val="22"/>
          <w:szCs w:val="22"/>
          <w:u w:val="single"/>
        </w:rPr>
        <w:t>Salary</w:t>
      </w:r>
    </w:p>
    <w:p w14:paraId="33A2E712" w14:textId="77777777" w:rsidR="00736A3A" w:rsidRDefault="00736A3A">
      <w:pPr>
        <w:ind w:left="0" w:hanging="2"/>
        <w:rPr>
          <w:rFonts w:ascii="Arial" w:eastAsia="Arial" w:hAnsi="Arial" w:cs="Arial"/>
          <w:sz w:val="22"/>
          <w:szCs w:val="22"/>
          <w:highlight w:val="yellow"/>
        </w:rPr>
      </w:pPr>
    </w:p>
    <w:p w14:paraId="33A2E713" w14:textId="77777777" w:rsidR="00736A3A" w:rsidRDefault="0096329F">
      <w:pPr>
        <w:ind w:left="0" w:hanging="2"/>
        <w:rPr>
          <w:rFonts w:ascii="Arial" w:eastAsia="Arial" w:hAnsi="Arial" w:cs="Arial"/>
          <w:sz w:val="22"/>
          <w:szCs w:val="22"/>
          <w:highlight w:val="yellow"/>
        </w:rPr>
      </w:pPr>
      <w:r>
        <w:rPr>
          <w:rFonts w:ascii="Arial" w:eastAsia="Arial" w:hAnsi="Arial" w:cs="Arial"/>
          <w:sz w:val="22"/>
          <w:szCs w:val="22"/>
        </w:rPr>
        <w:t>‘Salary’ includes gross salary; overtime; reserved rights to London weighting or London allowances; recruitment and retention allowances; private office allowances and any other allowance to the extent that it is subject to UK taxation. This report is based on accrued payments made by the Department and thus recorded in these accounts.  In respect of Ministers in the House of Commons, departments bear only the cost of the additional Ministerial remuneration; the salary for their services as an MP £91,3</w:t>
      </w:r>
      <w:r>
        <w:rPr>
          <w:rFonts w:ascii="Arial" w:eastAsia="Arial" w:hAnsi="Arial" w:cs="Arial"/>
          <w:sz w:val="22"/>
          <w:szCs w:val="22"/>
        </w:rPr>
        <w:t>46</w:t>
      </w:r>
      <w:r>
        <w:rPr>
          <w:rFonts w:ascii="Arial" w:eastAsia="Arial" w:hAnsi="Arial" w:cs="Arial"/>
          <w:sz w:val="22"/>
          <w:szCs w:val="22"/>
        </w:rPr>
        <w:t xml:space="preserve"> (from 1 April 202</w:t>
      </w:r>
      <w:r>
        <w:rPr>
          <w:rFonts w:ascii="Arial" w:eastAsia="Arial" w:hAnsi="Arial" w:cs="Arial"/>
          <w:sz w:val="22"/>
          <w:szCs w:val="22"/>
        </w:rPr>
        <w:t>4</w:t>
      </w:r>
      <w:r>
        <w:rPr>
          <w:rFonts w:ascii="Arial" w:eastAsia="Arial" w:hAnsi="Arial" w:cs="Arial"/>
          <w:sz w:val="22"/>
          <w:szCs w:val="22"/>
        </w:rPr>
        <w:t>) and various allowances to which they are entitled are borne centrally.  However, the arrangement for Ministers in the House of Lords is different in that they do not receive a salary but rather an additional remuneration, which cannot be quantified separately from their Ministerial salaries.  This total remuneration, as well as the allowances to which they are entitled, is paid by the Department, and is therefore shown in full in the figures above.</w:t>
      </w:r>
      <w:r>
        <w:rPr>
          <w:rFonts w:ascii="Arial" w:eastAsia="Arial" w:hAnsi="Arial" w:cs="Arial"/>
          <w:sz w:val="22"/>
          <w:szCs w:val="22"/>
          <w:highlight w:val="yellow"/>
        </w:rPr>
        <w:t xml:space="preserve"> </w:t>
      </w:r>
    </w:p>
    <w:p w14:paraId="33A2E714" w14:textId="77777777" w:rsidR="00736A3A" w:rsidRDefault="00736A3A">
      <w:pPr>
        <w:ind w:left="0" w:hanging="2"/>
        <w:rPr>
          <w:rFonts w:ascii="Arial" w:eastAsia="Arial" w:hAnsi="Arial" w:cs="Arial"/>
          <w:sz w:val="22"/>
          <w:szCs w:val="22"/>
          <w:highlight w:val="yellow"/>
          <w:u w:val="single"/>
        </w:rPr>
      </w:pPr>
    </w:p>
    <w:p w14:paraId="33A2E715" w14:textId="77777777" w:rsidR="00736A3A" w:rsidRDefault="0096329F">
      <w:pPr>
        <w:ind w:left="0" w:hanging="2"/>
        <w:rPr>
          <w:rFonts w:ascii="Arial" w:eastAsia="Arial" w:hAnsi="Arial" w:cs="Arial"/>
          <w:sz w:val="22"/>
          <w:szCs w:val="22"/>
          <w:u w:val="single"/>
        </w:rPr>
      </w:pPr>
      <w:r>
        <w:rPr>
          <w:rFonts w:ascii="Arial" w:eastAsia="Arial" w:hAnsi="Arial" w:cs="Arial"/>
          <w:b/>
          <w:sz w:val="22"/>
          <w:szCs w:val="22"/>
          <w:u w:val="single"/>
        </w:rPr>
        <w:t xml:space="preserve">Benefits in kind  </w:t>
      </w:r>
    </w:p>
    <w:p w14:paraId="33A2E716" w14:textId="77777777" w:rsidR="00736A3A" w:rsidRDefault="00736A3A">
      <w:pPr>
        <w:ind w:left="0" w:hanging="2"/>
        <w:rPr>
          <w:rFonts w:ascii="Arial" w:eastAsia="Arial" w:hAnsi="Arial" w:cs="Arial"/>
          <w:sz w:val="22"/>
          <w:szCs w:val="22"/>
        </w:rPr>
      </w:pPr>
    </w:p>
    <w:p w14:paraId="33A2E717" w14:textId="77777777" w:rsidR="00736A3A" w:rsidRDefault="0096329F">
      <w:pPr>
        <w:ind w:left="0" w:hanging="2"/>
        <w:rPr>
          <w:rFonts w:ascii="Arial" w:eastAsia="Arial" w:hAnsi="Arial" w:cs="Arial"/>
          <w:sz w:val="22"/>
          <w:szCs w:val="22"/>
        </w:rPr>
      </w:pPr>
      <w:r>
        <w:rPr>
          <w:rFonts w:ascii="Arial" w:eastAsia="Arial" w:hAnsi="Arial" w:cs="Arial"/>
          <w:sz w:val="22"/>
          <w:szCs w:val="22"/>
        </w:rPr>
        <w:t>The monetary value of benefits in kind covers any benefits provided by the Department and treated by HM Revenue and Customs as a taxable emolument.  Minister 1 received living accommodation provided at public expense and chargeable to tax under s163 of the Income and Corporation Taxes Act 1988.  The Permanent Secretary had the private use of an allocated car in the circumstances permitted by the Civil Service Management Code.</w:t>
      </w:r>
    </w:p>
    <w:p w14:paraId="33A2E718" w14:textId="77777777" w:rsidR="00736A3A" w:rsidRDefault="0096329F">
      <w:pPr>
        <w:ind w:left="0" w:hanging="2"/>
        <w:rPr>
          <w:rFonts w:ascii="Arial" w:eastAsia="Arial" w:hAnsi="Arial" w:cs="Arial"/>
          <w:sz w:val="22"/>
          <w:szCs w:val="22"/>
        </w:rPr>
      </w:pPr>
      <w:r>
        <w:rPr>
          <w:rFonts w:ascii="Arial" w:eastAsia="Arial" w:hAnsi="Arial" w:cs="Arial"/>
          <w:sz w:val="22"/>
          <w:szCs w:val="22"/>
        </w:rPr>
        <w:t xml:space="preserve">  </w:t>
      </w:r>
    </w:p>
    <w:p w14:paraId="33A2E719" w14:textId="77777777" w:rsidR="00736A3A" w:rsidRDefault="0096329F">
      <w:pPr>
        <w:ind w:left="0" w:hanging="2"/>
        <w:rPr>
          <w:rFonts w:ascii="Arial" w:eastAsia="Arial" w:hAnsi="Arial" w:cs="Arial"/>
          <w:sz w:val="22"/>
          <w:szCs w:val="22"/>
          <w:u w:val="single"/>
        </w:rPr>
      </w:pPr>
      <w:r>
        <w:rPr>
          <w:rFonts w:ascii="Arial" w:eastAsia="Arial" w:hAnsi="Arial" w:cs="Arial"/>
          <w:b/>
          <w:sz w:val="22"/>
          <w:szCs w:val="22"/>
          <w:u w:val="single"/>
        </w:rPr>
        <w:t>Bonuses</w:t>
      </w:r>
    </w:p>
    <w:p w14:paraId="33A2E71A" w14:textId="77777777" w:rsidR="00736A3A" w:rsidRDefault="00736A3A">
      <w:pPr>
        <w:ind w:left="0" w:hanging="2"/>
        <w:rPr>
          <w:rFonts w:ascii="Arial" w:eastAsia="Arial" w:hAnsi="Arial" w:cs="Arial"/>
          <w:sz w:val="22"/>
          <w:szCs w:val="22"/>
        </w:rPr>
      </w:pPr>
    </w:p>
    <w:p w14:paraId="33A2E71B" w14:textId="00EFB304" w:rsidR="00736A3A" w:rsidRDefault="0096329F">
      <w:pPr>
        <w:ind w:left="0" w:hanging="2"/>
        <w:rPr>
          <w:rFonts w:ascii="Arial" w:eastAsia="Arial" w:hAnsi="Arial" w:cs="Arial"/>
          <w:sz w:val="22"/>
          <w:szCs w:val="22"/>
        </w:rPr>
      </w:pPr>
      <w:r>
        <w:rPr>
          <w:rFonts w:ascii="Arial" w:eastAsia="Arial" w:hAnsi="Arial" w:cs="Arial"/>
          <w:sz w:val="22"/>
          <w:szCs w:val="22"/>
        </w:rPr>
        <w:t xml:space="preserve">Bonuses are based on performance levels attained and are made as part of the appraisal process.  Bonuses relate to the performance in the year in which they become payable to the </w:t>
      </w:r>
      <w:r>
        <w:rPr>
          <w:rFonts w:ascii="Arial" w:eastAsia="Arial" w:hAnsi="Arial" w:cs="Arial"/>
          <w:sz w:val="22"/>
          <w:szCs w:val="22"/>
        </w:rPr>
        <w:lastRenderedPageBreak/>
        <w:t xml:space="preserve">individual.  The bonuses reported in 2024-25 relate to performance in 2024-25 and the comparative bonuses reported for 2023-24 relate to the performance in </w:t>
      </w:r>
      <w:sdt>
        <w:sdtPr>
          <w:tag w:val="goog_rdk_0"/>
          <w:id w:val="-1281488396"/>
        </w:sdtPr>
        <w:sdtEndPr/>
        <w:sdtContent>
          <w:r>
            <w:rPr>
              <w:rFonts w:ascii="Arial" w:eastAsia="Arial" w:hAnsi="Arial" w:cs="Arial"/>
              <w:sz w:val="22"/>
              <w:szCs w:val="22"/>
            </w:rPr>
            <w:t>2023-24</w:t>
          </w:r>
        </w:sdtContent>
      </w:sdt>
      <w:sdt>
        <w:sdtPr>
          <w:tag w:val="goog_rdk_1"/>
          <w:id w:val="522051735"/>
          <w:showingPlcHdr/>
        </w:sdtPr>
        <w:sdtEndPr/>
        <w:sdtContent>
          <w:r w:rsidR="00A43833">
            <w:t xml:space="preserve">     </w:t>
          </w:r>
        </w:sdtContent>
      </w:sdt>
      <w:r>
        <w:rPr>
          <w:rFonts w:ascii="Arial" w:eastAsia="Arial" w:hAnsi="Arial" w:cs="Arial"/>
          <w:sz w:val="22"/>
          <w:szCs w:val="22"/>
        </w:rPr>
        <w:t xml:space="preserve">. </w:t>
      </w:r>
    </w:p>
    <w:p w14:paraId="33A2E71C" w14:textId="77777777" w:rsidR="00736A3A" w:rsidRDefault="0096329F">
      <w:pPr>
        <w:ind w:left="0" w:hanging="2"/>
        <w:rPr>
          <w:rFonts w:ascii="Arial" w:eastAsia="Arial" w:hAnsi="Arial" w:cs="Arial"/>
          <w:sz w:val="22"/>
          <w:szCs w:val="22"/>
        </w:rPr>
      </w:pPr>
      <w:r>
        <w:rPr>
          <w:rFonts w:ascii="Arial" w:eastAsia="Arial" w:hAnsi="Arial" w:cs="Arial"/>
          <w:sz w:val="22"/>
          <w:szCs w:val="22"/>
          <w:highlight w:val="lightGray"/>
        </w:rPr>
        <w:t>[Note - If the appraisal process does not allow enough time to accrue for individual bonuses relating to 2024-25 performance in the 2024-25 financial statements, then the remuneration report should disclose bonuses based on 2023-24 performance and comparative bonuses for 2023-24 should be based on 2022-23 performance.]</w:t>
      </w:r>
    </w:p>
    <w:p w14:paraId="33A2E71D" w14:textId="77777777" w:rsidR="00736A3A" w:rsidRDefault="00736A3A">
      <w:pPr>
        <w:ind w:left="0" w:hanging="2"/>
        <w:rPr>
          <w:rFonts w:ascii="Arial" w:eastAsia="Arial" w:hAnsi="Arial" w:cs="Arial"/>
          <w:sz w:val="22"/>
          <w:szCs w:val="22"/>
        </w:rPr>
      </w:pPr>
    </w:p>
    <w:p w14:paraId="33A2E71E" w14:textId="173A94E1" w:rsidR="00736A3A" w:rsidRDefault="0096329F">
      <w:pPr>
        <w:ind w:left="0" w:hanging="2"/>
        <w:rPr>
          <w:rFonts w:ascii="Arial" w:eastAsia="Arial" w:hAnsi="Arial" w:cs="Arial"/>
          <w:sz w:val="22"/>
          <w:szCs w:val="22"/>
          <w:u w:val="single"/>
        </w:rPr>
      </w:pPr>
      <w:r>
        <w:rPr>
          <w:rFonts w:ascii="Arial" w:eastAsia="Arial" w:hAnsi="Arial" w:cs="Arial"/>
          <w:b/>
          <w:sz w:val="22"/>
          <w:szCs w:val="22"/>
          <w:u w:val="single"/>
        </w:rPr>
        <w:t xml:space="preserve">Pay </w:t>
      </w:r>
      <w:r w:rsidR="00A43833">
        <w:rPr>
          <w:rFonts w:ascii="Arial" w:eastAsia="Arial" w:hAnsi="Arial" w:cs="Arial"/>
          <w:b/>
          <w:sz w:val="22"/>
          <w:szCs w:val="22"/>
          <w:u w:val="single"/>
        </w:rPr>
        <w:t>multiples.</w:t>
      </w:r>
    </w:p>
    <w:p w14:paraId="33A2E71F" w14:textId="77777777" w:rsidR="00736A3A" w:rsidRDefault="00736A3A">
      <w:pPr>
        <w:ind w:left="0" w:hanging="2"/>
        <w:rPr>
          <w:rFonts w:ascii="Arial" w:eastAsia="Arial" w:hAnsi="Arial" w:cs="Arial"/>
          <w:sz w:val="22"/>
          <w:szCs w:val="22"/>
        </w:rPr>
      </w:pPr>
    </w:p>
    <w:p w14:paraId="33A2E720" w14:textId="77777777" w:rsidR="00736A3A" w:rsidRDefault="0096329F">
      <w:pPr>
        <w:ind w:left="0" w:hanging="2"/>
        <w:rPr>
          <w:rFonts w:ascii="Arial" w:eastAsia="Arial" w:hAnsi="Arial" w:cs="Arial"/>
          <w:sz w:val="23"/>
          <w:szCs w:val="23"/>
        </w:rPr>
      </w:pPr>
      <w:r>
        <w:rPr>
          <w:rFonts w:ascii="Arial" w:eastAsia="Arial" w:hAnsi="Arial" w:cs="Arial"/>
          <w:sz w:val="23"/>
          <w:szCs w:val="23"/>
        </w:rPr>
        <w:t>Reporting bodies are required to disclose the relationship between the remuneration of the highest-paid director in their organisation and the median remuneration of the organisation’s workforce.</w:t>
      </w:r>
    </w:p>
    <w:p w14:paraId="33A2E721" w14:textId="77777777" w:rsidR="00736A3A" w:rsidRDefault="00736A3A">
      <w:pPr>
        <w:ind w:left="0" w:hanging="2"/>
        <w:rPr>
          <w:rFonts w:ascii="Arial" w:eastAsia="Arial" w:hAnsi="Arial" w:cs="Arial"/>
          <w:sz w:val="23"/>
          <w:szCs w:val="23"/>
        </w:rPr>
      </w:pPr>
    </w:p>
    <w:p w14:paraId="33A2E722" w14:textId="77777777" w:rsidR="00736A3A" w:rsidRDefault="0096329F">
      <w:pPr>
        <w:ind w:left="0" w:hanging="2"/>
        <w:rPr>
          <w:rFonts w:ascii="Arial" w:eastAsia="Arial" w:hAnsi="Arial" w:cs="Arial"/>
          <w:sz w:val="23"/>
          <w:szCs w:val="23"/>
        </w:rPr>
      </w:pPr>
      <w:r>
        <w:rPr>
          <w:rFonts w:ascii="Arial" w:eastAsia="Arial" w:hAnsi="Arial" w:cs="Arial"/>
          <w:sz w:val="23"/>
          <w:szCs w:val="23"/>
        </w:rPr>
        <w:t>The banded remuneration of the highest-paid director in [the organisation] in the financial year 2024-25 was £175-180,000 (2023-24, £170-175,000). This was 6.4 times (2023-24, 6.4) the median remuneration of the workforce, which was £27,500 (2023-24, £27,000).</w:t>
      </w:r>
    </w:p>
    <w:p w14:paraId="33A2E723" w14:textId="77777777" w:rsidR="00736A3A" w:rsidRDefault="00736A3A">
      <w:pPr>
        <w:ind w:left="0" w:hanging="2"/>
        <w:rPr>
          <w:rFonts w:ascii="Arial" w:eastAsia="Arial" w:hAnsi="Arial" w:cs="Arial"/>
          <w:sz w:val="23"/>
          <w:szCs w:val="23"/>
        </w:rPr>
      </w:pPr>
    </w:p>
    <w:p w14:paraId="33A2E724" w14:textId="352E5085" w:rsidR="00736A3A" w:rsidRDefault="0096329F">
      <w:pPr>
        <w:ind w:left="0" w:hanging="2"/>
        <w:rPr>
          <w:rFonts w:ascii="Arial" w:eastAsia="Arial" w:hAnsi="Arial" w:cs="Arial"/>
          <w:sz w:val="23"/>
          <w:szCs w:val="23"/>
        </w:rPr>
      </w:pPr>
      <w:r>
        <w:rPr>
          <w:rFonts w:ascii="Arial" w:eastAsia="Arial" w:hAnsi="Arial" w:cs="Arial"/>
          <w:sz w:val="23"/>
          <w:szCs w:val="23"/>
        </w:rPr>
        <w:t xml:space="preserve">In 2024-25, 1 (2023-24, 1) employee received remuneration </w:t>
      </w:r>
      <w:r w:rsidR="00CE1725">
        <w:rPr>
          <w:rFonts w:ascii="Arial" w:eastAsia="Arial" w:hAnsi="Arial" w:cs="Arial"/>
          <w:sz w:val="23"/>
          <w:szCs w:val="23"/>
        </w:rPr>
        <w:t>more than</w:t>
      </w:r>
      <w:r>
        <w:rPr>
          <w:rFonts w:ascii="Arial" w:eastAsia="Arial" w:hAnsi="Arial" w:cs="Arial"/>
          <w:sz w:val="23"/>
          <w:szCs w:val="23"/>
        </w:rPr>
        <w:t xml:space="preserve"> the highest-paid director. Remuneration ranged from £20,000 to £190,000 (2023-24, £19,000-£180,000).</w:t>
      </w:r>
    </w:p>
    <w:p w14:paraId="33A2E725" w14:textId="77777777" w:rsidR="00736A3A" w:rsidRDefault="00736A3A">
      <w:pPr>
        <w:ind w:left="0" w:hanging="2"/>
        <w:rPr>
          <w:rFonts w:ascii="Arial" w:eastAsia="Arial" w:hAnsi="Arial" w:cs="Arial"/>
          <w:sz w:val="23"/>
          <w:szCs w:val="23"/>
        </w:rPr>
      </w:pPr>
    </w:p>
    <w:p w14:paraId="33A2E726" w14:textId="77777777" w:rsidR="00736A3A" w:rsidRDefault="0096329F">
      <w:pPr>
        <w:ind w:left="0" w:hanging="2"/>
        <w:rPr>
          <w:rFonts w:ascii="Arial" w:eastAsia="Arial" w:hAnsi="Arial" w:cs="Arial"/>
          <w:sz w:val="23"/>
          <w:szCs w:val="23"/>
        </w:rPr>
      </w:pPr>
      <w:r>
        <w:rPr>
          <w:rFonts w:ascii="Arial" w:eastAsia="Arial" w:hAnsi="Arial" w:cs="Arial"/>
          <w:sz w:val="23"/>
          <w:szCs w:val="23"/>
        </w:rPr>
        <w:t>Total remuneration includes salary, non-consolidated performance-related pay, and benefits-in-kind. It does not include severance payments, employer pension contributions and the cash equivalent transfer value of pensions.</w:t>
      </w:r>
    </w:p>
    <w:p w14:paraId="33A2E727" w14:textId="77777777" w:rsidR="00736A3A" w:rsidRDefault="00736A3A">
      <w:pPr>
        <w:ind w:left="0" w:hanging="2"/>
        <w:rPr>
          <w:rFonts w:ascii="Arial" w:eastAsia="Arial" w:hAnsi="Arial" w:cs="Arial"/>
          <w:sz w:val="23"/>
          <w:szCs w:val="23"/>
        </w:rPr>
      </w:pPr>
    </w:p>
    <w:p w14:paraId="33A2E728" w14:textId="77777777" w:rsidR="00736A3A" w:rsidRDefault="0096329F">
      <w:pPr>
        <w:ind w:left="0" w:hanging="2"/>
        <w:rPr>
          <w:rFonts w:ascii="Arial" w:eastAsia="Arial" w:hAnsi="Arial" w:cs="Arial"/>
          <w:sz w:val="23"/>
          <w:szCs w:val="23"/>
        </w:rPr>
      </w:pPr>
      <w:r>
        <w:rPr>
          <w:rFonts w:ascii="Arial" w:eastAsia="Arial" w:hAnsi="Arial" w:cs="Arial"/>
          <w:sz w:val="23"/>
          <w:szCs w:val="23"/>
          <w:highlight w:val="lightGray"/>
        </w:rPr>
        <w:t>[Explanation of the changes on either side of the ratio]</w:t>
      </w:r>
    </w:p>
    <w:p w14:paraId="33A2E729" w14:textId="77777777" w:rsidR="00736A3A" w:rsidRDefault="00736A3A">
      <w:pPr>
        <w:ind w:left="0" w:hanging="2"/>
        <w:rPr>
          <w:rFonts w:ascii="Arial" w:eastAsia="Arial" w:hAnsi="Arial" w:cs="Arial"/>
          <w:sz w:val="22"/>
          <w:szCs w:val="22"/>
        </w:rPr>
      </w:pPr>
    </w:p>
    <w:p w14:paraId="33A2E72A" w14:textId="77777777" w:rsidR="00736A3A" w:rsidRDefault="0096329F">
      <w:pPr>
        <w:pStyle w:val="Heading4"/>
        <w:ind w:left="0" w:hanging="2"/>
        <w:rPr>
          <w:u w:val="single"/>
        </w:rPr>
      </w:pPr>
      <w:r>
        <w:rPr>
          <w:u w:val="single"/>
        </w:rPr>
        <w:t>Pension Benefits</w:t>
      </w:r>
    </w:p>
    <w:p w14:paraId="33A2E72B" w14:textId="77777777" w:rsidR="00736A3A" w:rsidRDefault="00736A3A">
      <w:pPr>
        <w:pStyle w:val="Heading4"/>
        <w:ind w:left="0" w:hanging="2"/>
        <w:rPr>
          <w:u w:val="single"/>
        </w:rPr>
      </w:pPr>
    </w:p>
    <w:tbl>
      <w:tblPr>
        <w:tblStyle w:val="a1"/>
        <w:tblW w:w="99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1843"/>
        <w:gridCol w:w="1984"/>
        <w:gridCol w:w="1843"/>
        <w:gridCol w:w="1166"/>
        <w:gridCol w:w="1048"/>
      </w:tblGrid>
      <w:tr w:rsidR="00736A3A" w14:paraId="33A2E732" w14:textId="77777777">
        <w:trPr>
          <w:trHeight w:val="1260"/>
        </w:trPr>
        <w:tc>
          <w:tcPr>
            <w:tcW w:w="2093" w:type="dxa"/>
            <w:vAlign w:val="center"/>
          </w:tcPr>
          <w:p w14:paraId="33A2E72C" w14:textId="77777777" w:rsidR="00736A3A" w:rsidRDefault="0096329F">
            <w:pPr>
              <w:pStyle w:val="Heading4"/>
              <w:ind w:left="0" w:hanging="2"/>
              <w:jc w:val="center"/>
              <w:rPr>
                <w:b w:val="0"/>
                <w:sz w:val="20"/>
              </w:rPr>
            </w:pPr>
            <w:r>
              <w:rPr>
                <w:b w:val="0"/>
                <w:sz w:val="20"/>
              </w:rPr>
              <w:t>Minister</w:t>
            </w:r>
          </w:p>
        </w:tc>
        <w:tc>
          <w:tcPr>
            <w:tcW w:w="1843" w:type="dxa"/>
            <w:vAlign w:val="center"/>
          </w:tcPr>
          <w:p w14:paraId="33A2E72D" w14:textId="77777777" w:rsidR="00736A3A" w:rsidRDefault="0096329F">
            <w:pPr>
              <w:pStyle w:val="Heading4"/>
              <w:ind w:left="0" w:hanging="2"/>
              <w:jc w:val="center"/>
              <w:rPr>
                <w:b w:val="0"/>
                <w:sz w:val="20"/>
              </w:rPr>
            </w:pPr>
            <w:r>
              <w:rPr>
                <w:b w:val="0"/>
                <w:sz w:val="20"/>
              </w:rPr>
              <w:t>Accrued pension at age 65 as at 31/3/2</w:t>
            </w:r>
            <w:r>
              <w:rPr>
                <w:b w:val="0"/>
                <w:sz w:val="20"/>
              </w:rPr>
              <w:t>5</w:t>
            </w:r>
          </w:p>
        </w:tc>
        <w:tc>
          <w:tcPr>
            <w:tcW w:w="1984" w:type="dxa"/>
            <w:vAlign w:val="center"/>
          </w:tcPr>
          <w:p w14:paraId="33A2E72E" w14:textId="77777777" w:rsidR="00736A3A" w:rsidRDefault="0096329F">
            <w:pPr>
              <w:pStyle w:val="Heading4"/>
              <w:ind w:left="0" w:hanging="2"/>
              <w:jc w:val="center"/>
              <w:rPr>
                <w:b w:val="0"/>
                <w:sz w:val="20"/>
              </w:rPr>
            </w:pPr>
            <w:r>
              <w:rPr>
                <w:b w:val="0"/>
                <w:sz w:val="20"/>
              </w:rPr>
              <w:t>Real increase in pension at age 65</w:t>
            </w:r>
          </w:p>
        </w:tc>
        <w:tc>
          <w:tcPr>
            <w:tcW w:w="1843" w:type="dxa"/>
            <w:vAlign w:val="center"/>
          </w:tcPr>
          <w:p w14:paraId="33A2E72F" w14:textId="77777777" w:rsidR="00736A3A" w:rsidRDefault="0096329F">
            <w:pPr>
              <w:pStyle w:val="Heading4"/>
              <w:ind w:left="0" w:hanging="2"/>
              <w:jc w:val="center"/>
              <w:rPr>
                <w:b w:val="0"/>
                <w:sz w:val="20"/>
              </w:rPr>
            </w:pPr>
            <w:r>
              <w:rPr>
                <w:b w:val="0"/>
                <w:sz w:val="20"/>
              </w:rPr>
              <w:t>CETV at 31/3/2</w:t>
            </w:r>
            <w:r>
              <w:rPr>
                <w:b w:val="0"/>
                <w:sz w:val="20"/>
              </w:rPr>
              <w:t>5</w:t>
            </w:r>
          </w:p>
        </w:tc>
        <w:tc>
          <w:tcPr>
            <w:tcW w:w="1166" w:type="dxa"/>
            <w:vAlign w:val="center"/>
          </w:tcPr>
          <w:p w14:paraId="33A2E730" w14:textId="77777777" w:rsidR="00736A3A" w:rsidRDefault="0096329F">
            <w:pPr>
              <w:pStyle w:val="Heading4"/>
              <w:ind w:left="0" w:hanging="2"/>
              <w:jc w:val="center"/>
              <w:rPr>
                <w:b w:val="0"/>
                <w:sz w:val="20"/>
              </w:rPr>
            </w:pPr>
            <w:r>
              <w:rPr>
                <w:b w:val="0"/>
                <w:sz w:val="20"/>
              </w:rPr>
              <w:t>CETV at 31/3/2</w:t>
            </w:r>
            <w:r>
              <w:rPr>
                <w:b w:val="0"/>
                <w:sz w:val="20"/>
              </w:rPr>
              <w:t>4</w:t>
            </w:r>
          </w:p>
        </w:tc>
        <w:tc>
          <w:tcPr>
            <w:tcW w:w="1048" w:type="dxa"/>
            <w:vAlign w:val="center"/>
          </w:tcPr>
          <w:p w14:paraId="33A2E731" w14:textId="77777777" w:rsidR="00736A3A" w:rsidRDefault="0096329F">
            <w:pPr>
              <w:pStyle w:val="Heading4"/>
              <w:ind w:left="0" w:hanging="2"/>
              <w:jc w:val="center"/>
              <w:rPr>
                <w:b w:val="0"/>
                <w:sz w:val="20"/>
              </w:rPr>
            </w:pPr>
            <w:r>
              <w:rPr>
                <w:b w:val="0"/>
                <w:sz w:val="20"/>
              </w:rPr>
              <w:t>Real increase in CETV</w:t>
            </w:r>
          </w:p>
        </w:tc>
      </w:tr>
      <w:tr w:rsidR="00736A3A" w14:paraId="33A2E73A" w14:textId="77777777">
        <w:trPr>
          <w:trHeight w:val="657"/>
        </w:trPr>
        <w:tc>
          <w:tcPr>
            <w:tcW w:w="2093" w:type="dxa"/>
            <w:vAlign w:val="center"/>
          </w:tcPr>
          <w:p w14:paraId="33A2E733" w14:textId="77777777" w:rsidR="00736A3A" w:rsidRDefault="00736A3A">
            <w:pPr>
              <w:keepNext/>
              <w:pBdr>
                <w:top w:val="nil"/>
                <w:left w:val="nil"/>
                <w:bottom w:val="nil"/>
                <w:right w:val="nil"/>
                <w:between w:val="nil"/>
              </w:pBdr>
              <w:spacing w:line="240" w:lineRule="auto"/>
              <w:ind w:left="0" w:hanging="2"/>
              <w:jc w:val="center"/>
              <w:rPr>
                <w:rFonts w:ascii="Arial" w:eastAsia="Arial" w:hAnsi="Arial" w:cs="Arial"/>
                <w:b/>
                <w:color w:val="000000"/>
              </w:rPr>
            </w:pPr>
          </w:p>
          <w:p w14:paraId="33A2E734" w14:textId="77777777" w:rsidR="00736A3A" w:rsidRDefault="00736A3A">
            <w:pPr>
              <w:pStyle w:val="Heading4"/>
              <w:ind w:left="0" w:hanging="2"/>
              <w:jc w:val="center"/>
              <w:rPr>
                <w:sz w:val="20"/>
                <w:u w:val="single"/>
              </w:rPr>
            </w:pPr>
          </w:p>
        </w:tc>
        <w:tc>
          <w:tcPr>
            <w:tcW w:w="1843" w:type="dxa"/>
            <w:vAlign w:val="center"/>
          </w:tcPr>
          <w:p w14:paraId="33A2E735" w14:textId="77777777" w:rsidR="00736A3A" w:rsidRDefault="0096329F">
            <w:pPr>
              <w:pStyle w:val="Heading4"/>
              <w:ind w:left="0" w:hanging="2"/>
              <w:jc w:val="center"/>
              <w:rPr>
                <w:sz w:val="20"/>
                <w:u w:val="single"/>
              </w:rPr>
            </w:pPr>
            <w:r>
              <w:rPr>
                <w:sz w:val="20"/>
              </w:rPr>
              <w:t>£’000</w:t>
            </w:r>
          </w:p>
        </w:tc>
        <w:tc>
          <w:tcPr>
            <w:tcW w:w="1984" w:type="dxa"/>
            <w:vAlign w:val="center"/>
          </w:tcPr>
          <w:p w14:paraId="33A2E736" w14:textId="77777777" w:rsidR="00736A3A" w:rsidRDefault="0096329F">
            <w:pPr>
              <w:pStyle w:val="Heading4"/>
              <w:ind w:left="0" w:hanging="2"/>
              <w:jc w:val="center"/>
              <w:rPr>
                <w:sz w:val="20"/>
                <w:u w:val="single"/>
              </w:rPr>
            </w:pPr>
            <w:r>
              <w:rPr>
                <w:sz w:val="20"/>
              </w:rPr>
              <w:t>£’000</w:t>
            </w:r>
          </w:p>
        </w:tc>
        <w:tc>
          <w:tcPr>
            <w:tcW w:w="1843" w:type="dxa"/>
            <w:vAlign w:val="center"/>
          </w:tcPr>
          <w:p w14:paraId="33A2E737" w14:textId="77777777" w:rsidR="00736A3A" w:rsidRDefault="0096329F">
            <w:pPr>
              <w:pStyle w:val="Heading4"/>
              <w:ind w:left="0" w:hanging="2"/>
              <w:jc w:val="center"/>
              <w:rPr>
                <w:sz w:val="20"/>
                <w:u w:val="single"/>
              </w:rPr>
            </w:pPr>
            <w:r>
              <w:rPr>
                <w:sz w:val="20"/>
              </w:rPr>
              <w:t>£’000</w:t>
            </w:r>
          </w:p>
        </w:tc>
        <w:tc>
          <w:tcPr>
            <w:tcW w:w="1166" w:type="dxa"/>
            <w:vAlign w:val="center"/>
          </w:tcPr>
          <w:p w14:paraId="33A2E738" w14:textId="77777777" w:rsidR="00736A3A" w:rsidRDefault="0096329F">
            <w:pPr>
              <w:pStyle w:val="Heading4"/>
              <w:ind w:left="0" w:hanging="2"/>
              <w:jc w:val="center"/>
              <w:rPr>
                <w:sz w:val="20"/>
                <w:u w:val="single"/>
              </w:rPr>
            </w:pPr>
            <w:r>
              <w:rPr>
                <w:sz w:val="20"/>
              </w:rPr>
              <w:t>£’000</w:t>
            </w:r>
          </w:p>
        </w:tc>
        <w:tc>
          <w:tcPr>
            <w:tcW w:w="1048" w:type="dxa"/>
            <w:vAlign w:val="center"/>
          </w:tcPr>
          <w:p w14:paraId="33A2E739" w14:textId="77777777" w:rsidR="00736A3A" w:rsidRDefault="0096329F">
            <w:pPr>
              <w:pStyle w:val="Heading4"/>
              <w:ind w:left="0" w:hanging="2"/>
              <w:jc w:val="center"/>
              <w:rPr>
                <w:sz w:val="20"/>
                <w:u w:val="single"/>
              </w:rPr>
            </w:pPr>
            <w:r>
              <w:rPr>
                <w:sz w:val="20"/>
              </w:rPr>
              <w:t>£’000</w:t>
            </w:r>
          </w:p>
        </w:tc>
      </w:tr>
      <w:tr w:rsidR="00736A3A" w14:paraId="33A2E743" w14:textId="77777777">
        <w:trPr>
          <w:trHeight w:val="802"/>
        </w:trPr>
        <w:tc>
          <w:tcPr>
            <w:tcW w:w="2093" w:type="dxa"/>
          </w:tcPr>
          <w:p w14:paraId="33A2E73B" w14:textId="77777777" w:rsidR="00736A3A" w:rsidRDefault="0096329F">
            <w:pPr>
              <w:ind w:left="0" w:hanging="2"/>
              <w:rPr>
                <w:rFonts w:ascii="Arial" w:eastAsia="Arial" w:hAnsi="Arial" w:cs="Arial"/>
              </w:rPr>
            </w:pPr>
            <w:r>
              <w:rPr>
                <w:rFonts w:ascii="Arial" w:eastAsia="Arial" w:hAnsi="Arial" w:cs="Arial"/>
              </w:rPr>
              <w:t>Minister 1</w:t>
            </w:r>
          </w:p>
          <w:p w14:paraId="33A2E73C" w14:textId="77777777" w:rsidR="00736A3A" w:rsidRDefault="0096329F">
            <w:pPr>
              <w:pStyle w:val="Heading3"/>
              <w:ind w:left="0" w:hanging="2"/>
              <w:rPr>
                <w:sz w:val="20"/>
              </w:rPr>
            </w:pPr>
            <w:r>
              <w:rPr>
                <w:sz w:val="20"/>
              </w:rPr>
              <w:t>Secretary of State</w:t>
            </w:r>
          </w:p>
          <w:p w14:paraId="33A2E73D" w14:textId="77777777" w:rsidR="00736A3A" w:rsidRDefault="00736A3A">
            <w:pPr>
              <w:ind w:left="0" w:hanging="2"/>
              <w:rPr>
                <w:rFonts w:ascii="Arial" w:eastAsia="Arial" w:hAnsi="Arial" w:cs="Arial"/>
              </w:rPr>
            </w:pPr>
          </w:p>
        </w:tc>
        <w:tc>
          <w:tcPr>
            <w:tcW w:w="1843" w:type="dxa"/>
            <w:vAlign w:val="center"/>
          </w:tcPr>
          <w:p w14:paraId="33A2E73E" w14:textId="77777777" w:rsidR="00736A3A" w:rsidRDefault="0096329F">
            <w:pPr>
              <w:pStyle w:val="Heading4"/>
              <w:ind w:left="0" w:hanging="2"/>
              <w:jc w:val="center"/>
              <w:rPr>
                <w:sz w:val="20"/>
                <w:u w:val="single"/>
              </w:rPr>
            </w:pPr>
            <w:r>
              <w:rPr>
                <w:sz w:val="20"/>
              </w:rPr>
              <w:t>5-10</w:t>
            </w:r>
          </w:p>
        </w:tc>
        <w:tc>
          <w:tcPr>
            <w:tcW w:w="1984" w:type="dxa"/>
            <w:vAlign w:val="center"/>
          </w:tcPr>
          <w:p w14:paraId="33A2E73F" w14:textId="77777777" w:rsidR="00736A3A" w:rsidRDefault="0096329F">
            <w:pPr>
              <w:pStyle w:val="Heading4"/>
              <w:ind w:left="0" w:hanging="2"/>
              <w:jc w:val="center"/>
              <w:rPr>
                <w:sz w:val="20"/>
                <w:u w:val="single"/>
              </w:rPr>
            </w:pPr>
            <w:r>
              <w:rPr>
                <w:sz w:val="20"/>
              </w:rPr>
              <w:t>0-2.5</w:t>
            </w:r>
          </w:p>
        </w:tc>
        <w:tc>
          <w:tcPr>
            <w:tcW w:w="1843" w:type="dxa"/>
            <w:vAlign w:val="center"/>
          </w:tcPr>
          <w:p w14:paraId="33A2E740" w14:textId="77777777" w:rsidR="00736A3A" w:rsidRDefault="0096329F">
            <w:pPr>
              <w:pStyle w:val="Heading4"/>
              <w:ind w:left="0" w:hanging="2"/>
              <w:jc w:val="center"/>
              <w:rPr>
                <w:sz w:val="20"/>
                <w:u w:val="single"/>
              </w:rPr>
            </w:pPr>
            <w:r>
              <w:rPr>
                <w:sz w:val="20"/>
              </w:rPr>
              <w:t>29</w:t>
            </w:r>
          </w:p>
        </w:tc>
        <w:tc>
          <w:tcPr>
            <w:tcW w:w="1166" w:type="dxa"/>
            <w:vAlign w:val="center"/>
          </w:tcPr>
          <w:p w14:paraId="33A2E741" w14:textId="77777777" w:rsidR="00736A3A" w:rsidRDefault="0096329F">
            <w:pPr>
              <w:pStyle w:val="Heading4"/>
              <w:ind w:left="0" w:hanging="2"/>
              <w:jc w:val="center"/>
              <w:rPr>
                <w:sz w:val="20"/>
                <w:u w:val="single"/>
              </w:rPr>
            </w:pPr>
            <w:r>
              <w:rPr>
                <w:sz w:val="20"/>
              </w:rPr>
              <w:t>8</w:t>
            </w:r>
          </w:p>
        </w:tc>
        <w:tc>
          <w:tcPr>
            <w:tcW w:w="1048" w:type="dxa"/>
            <w:vAlign w:val="center"/>
          </w:tcPr>
          <w:p w14:paraId="33A2E742" w14:textId="77777777" w:rsidR="00736A3A" w:rsidRDefault="0096329F">
            <w:pPr>
              <w:pStyle w:val="Heading4"/>
              <w:ind w:left="0" w:hanging="2"/>
              <w:jc w:val="center"/>
              <w:rPr>
                <w:sz w:val="20"/>
                <w:u w:val="single"/>
              </w:rPr>
            </w:pPr>
            <w:r>
              <w:rPr>
                <w:sz w:val="20"/>
              </w:rPr>
              <w:t>12</w:t>
            </w:r>
          </w:p>
        </w:tc>
      </w:tr>
      <w:tr w:rsidR="00736A3A" w14:paraId="33A2E74C" w14:textId="77777777">
        <w:trPr>
          <w:trHeight w:val="806"/>
        </w:trPr>
        <w:tc>
          <w:tcPr>
            <w:tcW w:w="2093" w:type="dxa"/>
          </w:tcPr>
          <w:p w14:paraId="33A2E744" w14:textId="77777777" w:rsidR="00736A3A" w:rsidRDefault="0096329F">
            <w:pPr>
              <w:ind w:left="0" w:hanging="2"/>
              <w:rPr>
                <w:rFonts w:ascii="Arial" w:eastAsia="Arial" w:hAnsi="Arial" w:cs="Arial"/>
              </w:rPr>
            </w:pPr>
            <w:r>
              <w:rPr>
                <w:rFonts w:ascii="Arial" w:eastAsia="Arial" w:hAnsi="Arial" w:cs="Arial"/>
              </w:rPr>
              <w:t>Minister 2</w:t>
            </w:r>
          </w:p>
          <w:p w14:paraId="33A2E745" w14:textId="77777777" w:rsidR="00736A3A" w:rsidRDefault="0096329F">
            <w:pPr>
              <w:pStyle w:val="Heading3"/>
              <w:ind w:left="0" w:hanging="2"/>
              <w:rPr>
                <w:sz w:val="20"/>
              </w:rPr>
            </w:pPr>
            <w:r>
              <w:rPr>
                <w:sz w:val="20"/>
              </w:rPr>
              <w:t>Minister of State</w:t>
            </w:r>
          </w:p>
          <w:p w14:paraId="33A2E746" w14:textId="77777777" w:rsidR="00736A3A" w:rsidRDefault="00736A3A">
            <w:pPr>
              <w:ind w:left="0" w:hanging="2"/>
              <w:rPr>
                <w:rFonts w:ascii="Arial" w:eastAsia="Arial" w:hAnsi="Arial" w:cs="Arial"/>
              </w:rPr>
            </w:pPr>
          </w:p>
        </w:tc>
        <w:tc>
          <w:tcPr>
            <w:tcW w:w="1843" w:type="dxa"/>
            <w:vAlign w:val="center"/>
          </w:tcPr>
          <w:p w14:paraId="33A2E747" w14:textId="77777777" w:rsidR="00736A3A" w:rsidRDefault="0096329F">
            <w:pPr>
              <w:pStyle w:val="Heading4"/>
              <w:ind w:left="0" w:hanging="2"/>
              <w:jc w:val="center"/>
              <w:rPr>
                <w:sz w:val="20"/>
                <w:u w:val="single"/>
              </w:rPr>
            </w:pPr>
            <w:r>
              <w:rPr>
                <w:sz w:val="20"/>
              </w:rPr>
              <w:t>0-5</w:t>
            </w:r>
          </w:p>
        </w:tc>
        <w:tc>
          <w:tcPr>
            <w:tcW w:w="1984" w:type="dxa"/>
            <w:vAlign w:val="center"/>
          </w:tcPr>
          <w:p w14:paraId="33A2E748" w14:textId="77777777" w:rsidR="00736A3A" w:rsidRDefault="0096329F">
            <w:pPr>
              <w:pStyle w:val="Heading4"/>
              <w:ind w:left="0" w:hanging="2"/>
              <w:jc w:val="center"/>
              <w:rPr>
                <w:sz w:val="20"/>
                <w:u w:val="single"/>
              </w:rPr>
            </w:pPr>
            <w:r>
              <w:rPr>
                <w:sz w:val="20"/>
              </w:rPr>
              <w:t>0-2.5</w:t>
            </w:r>
          </w:p>
        </w:tc>
        <w:tc>
          <w:tcPr>
            <w:tcW w:w="1843" w:type="dxa"/>
            <w:vAlign w:val="center"/>
          </w:tcPr>
          <w:p w14:paraId="33A2E749" w14:textId="77777777" w:rsidR="00736A3A" w:rsidRDefault="0096329F">
            <w:pPr>
              <w:pStyle w:val="Heading4"/>
              <w:ind w:left="0" w:hanging="2"/>
              <w:jc w:val="center"/>
              <w:rPr>
                <w:sz w:val="20"/>
                <w:u w:val="single"/>
              </w:rPr>
            </w:pPr>
            <w:r>
              <w:rPr>
                <w:sz w:val="20"/>
              </w:rPr>
              <w:t>9</w:t>
            </w:r>
          </w:p>
        </w:tc>
        <w:tc>
          <w:tcPr>
            <w:tcW w:w="1166" w:type="dxa"/>
            <w:vAlign w:val="center"/>
          </w:tcPr>
          <w:p w14:paraId="33A2E74A" w14:textId="77777777" w:rsidR="00736A3A" w:rsidRDefault="0096329F">
            <w:pPr>
              <w:pStyle w:val="Heading4"/>
              <w:ind w:left="0" w:hanging="2"/>
              <w:jc w:val="center"/>
              <w:rPr>
                <w:sz w:val="20"/>
                <w:u w:val="single"/>
              </w:rPr>
            </w:pPr>
            <w:r>
              <w:rPr>
                <w:sz w:val="20"/>
              </w:rPr>
              <w:t>4</w:t>
            </w:r>
          </w:p>
        </w:tc>
        <w:tc>
          <w:tcPr>
            <w:tcW w:w="1048" w:type="dxa"/>
            <w:vAlign w:val="center"/>
          </w:tcPr>
          <w:p w14:paraId="33A2E74B" w14:textId="77777777" w:rsidR="00736A3A" w:rsidRDefault="0096329F">
            <w:pPr>
              <w:pStyle w:val="Heading4"/>
              <w:ind w:left="0" w:hanging="2"/>
              <w:jc w:val="center"/>
              <w:rPr>
                <w:sz w:val="20"/>
                <w:u w:val="single"/>
              </w:rPr>
            </w:pPr>
            <w:r>
              <w:rPr>
                <w:sz w:val="20"/>
              </w:rPr>
              <w:t>3</w:t>
            </w:r>
          </w:p>
        </w:tc>
      </w:tr>
      <w:tr w:rsidR="00736A3A" w14:paraId="33A2E755" w14:textId="77777777">
        <w:trPr>
          <w:trHeight w:val="825"/>
        </w:trPr>
        <w:tc>
          <w:tcPr>
            <w:tcW w:w="2093" w:type="dxa"/>
          </w:tcPr>
          <w:p w14:paraId="33A2E74D" w14:textId="77777777" w:rsidR="00736A3A" w:rsidRDefault="0096329F">
            <w:pPr>
              <w:ind w:left="0" w:hanging="2"/>
              <w:rPr>
                <w:rFonts w:ascii="Arial" w:eastAsia="Arial" w:hAnsi="Arial" w:cs="Arial"/>
              </w:rPr>
            </w:pPr>
            <w:r>
              <w:rPr>
                <w:rFonts w:ascii="Arial" w:eastAsia="Arial" w:hAnsi="Arial" w:cs="Arial"/>
              </w:rPr>
              <w:t>Minister 3</w:t>
            </w:r>
          </w:p>
          <w:p w14:paraId="33A2E74E" w14:textId="77777777" w:rsidR="00736A3A" w:rsidRDefault="0096329F">
            <w:pPr>
              <w:pStyle w:val="Heading3"/>
              <w:ind w:left="0" w:hanging="2"/>
              <w:rPr>
                <w:i w:val="0"/>
                <w:sz w:val="20"/>
              </w:rPr>
            </w:pPr>
            <w:r>
              <w:rPr>
                <w:sz w:val="20"/>
              </w:rPr>
              <w:t>Minister of State</w:t>
            </w:r>
          </w:p>
          <w:p w14:paraId="33A2E74F" w14:textId="77777777" w:rsidR="00736A3A" w:rsidRDefault="00736A3A">
            <w:pPr>
              <w:ind w:left="0" w:hanging="2"/>
              <w:rPr>
                <w:rFonts w:ascii="Arial" w:eastAsia="Arial" w:hAnsi="Arial" w:cs="Arial"/>
              </w:rPr>
            </w:pPr>
          </w:p>
        </w:tc>
        <w:tc>
          <w:tcPr>
            <w:tcW w:w="1843" w:type="dxa"/>
            <w:vAlign w:val="center"/>
          </w:tcPr>
          <w:p w14:paraId="33A2E750" w14:textId="77777777" w:rsidR="00736A3A" w:rsidRDefault="0096329F">
            <w:pPr>
              <w:pStyle w:val="Heading4"/>
              <w:ind w:left="0" w:hanging="2"/>
              <w:jc w:val="center"/>
              <w:rPr>
                <w:sz w:val="20"/>
                <w:u w:val="single"/>
              </w:rPr>
            </w:pPr>
            <w:r>
              <w:rPr>
                <w:sz w:val="20"/>
              </w:rPr>
              <w:t>0-5</w:t>
            </w:r>
          </w:p>
        </w:tc>
        <w:tc>
          <w:tcPr>
            <w:tcW w:w="1984" w:type="dxa"/>
            <w:vAlign w:val="center"/>
          </w:tcPr>
          <w:p w14:paraId="33A2E751" w14:textId="77777777" w:rsidR="00736A3A" w:rsidRDefault="0096329F">
            <w:pPr>
              <w:pStyle w:val="Heading4"/>
              <w:ind w:left="0" w:hanging="2"/>
              <w:jc w:val="center"/>
              <w:rPr>
                <w:sz w:val="20"/>
                <w:u w:val="single"/>
              </w:rPr>
            </w:pPr>
            <w:r>
              <w:rPr>
                <w:sz w:val="20"/>
              </w:rPr>
              <w:t>0-2.5</w:t>
            </w:r>
          </w:p>
        </w:tc>
        <w:tc>
          <w:tcPr>
            <w:tcW w:w="1843" w:type="dxa"/>
            <w:vAlign w:val="center"/>
          </w:tcPr>
          <w:p w14:paraId="33A2E752" w14:textId="77777777" w:rsidR="00736A3A" w:rsidRDefault="0096329F">
            <w:pPr>
              <w:pStyle w:val="Heading4"/>
              <w:ind w:left="0" w:hanging="2"/>
              <w:jc w:val="center"/>
              <w:rPr>
                <w:sz w:val="20"/>
                <w:u w:val="single"/>
              </w:rPr>
            </w:pPr>
            <w:r>
              <w:rPr>
                <w:sz w:val="20"/>
              </w:rPr>
              <w:t>4</w:t>
            </w:r>
          </w:p>
        </w:tc>
        <w:tc>
          <w:tcPr>
            <w:tcW w:w="1166" w:type="dxa"/>
            <w:vAlign w:val="center"/>
          </w:tcPr>
          <w:p w14:paraId="33A2E753" w14:textId="77777777" w:rsidR="00736A3A" w:rsidRDefault="0096329F">
            <w:pPr>
              <w:pStyle w:val="Heading4"/>
              <w:ind w:left="0" w:hanging="2"/>
              <w:jc w:val="center"/>
              <w:rPr>
                <w:sz w:val="20"/>
                <w:u w:val="single"/>
              </w:rPr>
            </w:pPr>
            <w:r>
              <w:rPr>
                <w:sz w:val="20"/>
              </w:rPr>
              <w:t>0</w:t>
            </w:r>
          </w:p>
        </w:tc>
        <w:tc>
          <w:tcPr>
            <w:tcW w:w="1048" w:type="dxa"/>
            <w:vAlign w:val="center"/>
          </w:tcPr>
          <w:p w14:paraId="33A2E754" w14:textId="77777777" w:rsidR="00736A3A" w:rsidRDefault="0096329F">
            <w:pPr>
              <w:pStyle w:val="Heading4"/>
              <w:ind w:left="0" w:hanging="2"/>
              <w:jc w:val="center"/>
              <w:rPr>
                <w:sz w:val="20"/>
                <w:u w:val="single"/>
              </w:rPr>
            </w:pPr>
            <w:r>
              <w:rPr>
                <w:sz w:val="20"/>
              </w:rPr>
              <w:t>4</w:t>
            </w:r>
          </w:p>
        </w:tc>
      </w:tr>
      <w:tr w:rsidR="00736A3A" w14:paraId="33A2E75D" w14:textId="77777777">
        <w:trPr>
          <w:trHeight w:val="1003"/>
        </w:trPr>
        <w:tc>
          <w:tcPr>
            <w:tcW w:w="2093" w:type="dxa"/>
          </w:tcPr>
          <w:p w14:paraId="33A2E756" w14:textId="77777777" w:rsidR="00736A3A" w:rsidRDefault="0096329F">
            <w:pPr>
              <w:ind w:left="0" w:hanging="2"/>
              <w:rPr>
                <w:rFonts w:ascii="Arial" w:eastAsia="Arial" w:hAnsi="Arial" w:cs="Arial"/>
              </w:rPr>
            </w:pPr>
            <w:r>
              <w:rPr>
                <w:rFonts w:ascii="Arial" w:eastAsia="Arial" w:hAnsi="Arial" w:cs="Arial"/>
              </w:rPr>
              <w:lastRenderedPageBreak/>
              <w:t>Minister 4</w:t>
            </w:r>
          </w:p>
          <w:p w14:paraId="33A2E757" w14:textId="77777777" w:rsidR="00736A3A" w:rsidRDefault="0096329F">
            <w:pPr>
              <w:ind w:left="0" w:hanging="2"/>
              <w:rPr>
                <w:rFonts w:ascii="Arial" w:eastAsia="Arial" w:hAnsi="Arial" w:cs="Arial"/>
              </w:rPr>
            </w:pPr>
            <w:r>
              <w:rPr>
                <w:rFonts w:ascii="Arial" w:eastAsia="Arial" w:hAnsi="Arial" w:cs="Arial"/>
                <w:i/>
              </w:rPr>
              <w:t>Minister of State</w:t>
            </w:r>
          </w:p>
        </w:tc>
        <w:tc>
          <w:tcPr>
            <w:tcW w:w="1843" w:type="dxa"/>
            <w:vAlign w:val="center"/>
          </w:tcPr>
          <w:p w14:paraId="33A2E758" w14:textId="77777777" w:rsidR="00736A3A" w:rsidRDefault="0096329F">
            <w:pPr>
              <w:pStyle w:val="Heading4"/>
              <w:ind w:left="0" w:hanging="2"/>
              <w:jc w:val="center"/>
              <w:rPr>
                <w:sz w:val="20"/>
                <w:u w:val="single"/>
              </w:rPr>
            </w:pPr>
            <w:r>
              <w:rPr>
                <w:sz w:val="20"/>
              </w:rPr>
              <w:t>0-5</w:t>
            </w:r>
          </w:p>
        </w:tc>
        <w:tc>
          <w:tcPr>
            <w:tcW w:w="1984" w:type="dxa"/>
            <w:vAlign w:val="center"/>
          </w:tcPr>
          <w:p w14:paraId="33A2E759" w14:textId="77777777" w:rsidR="00736A3A" w:rsidRDefault="0096329F">
            <w:pPr>
              <w:pStyle w:val="Heading4"/>
              <w:ind w:left="0" w:hanging="2"/>
              <w:jc w:val="center"/>
              <w:rPr>
                <w:sz w:val="20"/>
                <w:u w:val="single"/>
              </w:rPr>
            </w:pPr>
            <w:r>
              <w:rPr>
                <w:sz w:val="20"/>
              </w:rPr>
              <w:t>0-2.5</w:t>
            </w:r>
          </w:p>
        </w:tc>
        <w:tc>
          <w:tcPr>
            <w:tcW w:w="1843" w:type="dxa"/>
            <w:vAlign w:val="center"/>
          </w:tcPr>
          <w:p w14:paraId="33A2E75A" w14:textId="77777777" w:rsidR="00736A3A" w:rsidRDefault="0096329F">
            <w:pPr>
              <w:pStyle w:val="Heading4"/>
              <w:ind w:left="0" w:hanging="2"/>
              <w:jc w:val="center"/>
              <w:rPr>
                <w:sz w:val="20"/>
                <w:u w:val="single"/>
              </w:rPr>
            </w:pPr>
            <w:r>
              <w:rPr>
                <w:sz w:val="20"/>
              </w:rPr>
              <w:t>19</w:t>
            </w:r>
          </w:p>
        </w:tc>
        <w:tc>
          <w:tcPr>
            <w:tcW w:w="1166" w:type="dxa"/>
            <w:vAlign w:val="center"/>
          </w:tcPr>
          <w:p w14:paraId="33A2E75B" w14:textId="77777777" w:rsidR="00736A3A" w:rsidRDefault="0096329F">
            <w:pPr>
              <w:pStyle w:val="Heading4"/>
              <w:ind w:left="0" w:hanging="2"/>
              <w:jc w:val="center"/>
              <w:rPr>
                <w:sz w:val="20"/>
                <w:u w:val="single"/>
              </w:rPr>
            </w:pPr>
            <w:r>
              <w:rPr>
                <w:sz w:val="20"/>
              </w:rPr>
              <w:t>18</w:t>
            </w:r>
          </w:p>
        </w:tc>
        <w:tc>
          <w:tcPr>
            <w:tcW w:w="1048" w:type="dxa"/>
            <w:vAlign w:val="center"/>
          </w:tcPr>
          <w:p w14:paraId="33A2E75C" w14:textId="77777777" w:rsidR="00736A3A" w:rsidRDefault="0096329F">
            <w:pPr>
              <w:pStyle w:val="Heading4"/>
              <w:ind w:left="0" w:hanging="2"/>
              <w:jc w:val="center"/>
              <w:rPr>
                <w:sz w:val="20"/>
                <w:u w:val="single"/>
              </w:rPr>
            </w:pPr>
            <w:r>
              <w:rPr>
                <w:sz w:val="20"/>
              </w:rPr>
              <w:t>1</w:t>
            </w:r>
          </w:p>
        </w:tc>
      </w:tr>
    </w:tbl>
    <w:p w14:paraId="33A2E75E" w14:textId="77777777" w:rsidR="00736A3A" w:rsidRDefault="00736A3A">
      <w:pPr>
        <w:pStyle w:val="Heading4"/>
        <w:ind w:left="0" w:hanging="2"/>
        <w:rPr>
          <w:u w:val="single"/>
        </w:rPr>
      </w:pPr>
    </w:p>
    <w:p w14:paraId="33A2E75F" w14:textId="77777777" w:rsidR="00736A3A" w:rsidRDefault="0096329F">
      <w:pPr>
        <w:ind w:left="0" w:hanging="2"/>
        <w:rPr>
          <w:rFonts w:ascii="Arial" w:eastAsia="Arial" w:hAnsi="Arial" w:cs="Arial"/>
          <w:sz w:val="22"/>
          <w:szCs w:val="22"/>
          <w:u w:val="single"/>
        </w:rPr>
      </w:pPr>
      <w:r>
        <w:br w:type="page"/>
      </w:r>
      <w:r>
        <w:rPr>
          <w:rFonts w:ascii="Arial" w:eastAsia="Arial" w:hAnsi="Arial" w:cs="Arial"/>
          <w:b/>
          <w:sz w:val="22"/>
          <w:szCs w:val="22"/>
          <w:u w:val="single"/>
        </w:rPr>
        <w:lastRenderedPageBreak/>
        <w:t>Ministerial pensions</w:t>
      </w:r>
    </w:p>
    <w:p w14:paraId="33A2E760" w14:textId="77777777" w:rsidR="00736A3A" w:rsidRDefault="00736A3A">
      <w:pPr>
        <w:ind w:left="0" w:hanging="2"/>
        <w:rPr>
          <w:rFonts w:ascii="Arial" w:eastAsia="Arial" w:hAnsi="Arial" w:cs="Arial"/>
          <w:sz w:val="22"/>
          <w:szCs w:val="22"/>
        </w:rPr>
      </w:pPr>
    </w:p>
    <w:p w14:paraId="33A2E761" w14:textId="77777777" w:rsidR="00736A3A" w:rsidRDefault="0096329F">
      <w:pPr>
        <w:ind w:left="0" w:hanging="2"/>
        <w:rPr>
          <w:rFonts w:ascii="Arial" w:eastAsia="Arial" w:hAnsi="Arial" w:cs="Arial"/>
          <w:sz w:val="22"/>
          <w:szCs w:val="22"/>
        </w:rPr>
      </w:pPr>
      <w:r>
        <w:rPr>
          <w:rFonts w:ascii="Arial" w:eastAsia="Arial" w:hAnsi="Arial" w:cs="Arial"/>
          <w:sz w:val="22"/>
          <w:szCs w:val="22"/>
        </w:rPr>
        <w:t xml:space="preserve">Pension benefits for Ministers are provided by the Parliamentary Contributory Pension Fund (PCPF).  The scheme is made under statute and the rules are set out in the Ministers' etc. Pension Scheme 2015, available at </w:t>
      </w:r>
      <w:hyperlink r:id="rId8">
        <w:r>
          <w:rPr>
            <w:rFonts w:ascii="Arial" w:eastAsia="Arial" w:hAnsi="Arial" w:cs="Arial"/>
            <w:color w:val="0000FF"/>
            <w:sz w:val="22"/>
            <w:szCs w:val="22"/>
            <w:u w:val="single"/>
          </w:rPr>
          <w:t>https://mypcpfpension.co.uk/wp-content/uploads/2019/09/ministerial-pension-scheme-rules.pdf</w:t>
        </w:r>
      </w:hyperlink>
      <w:r>
        <w:rPr>
          <w:rFonts w:ascii="Arial" w:eastAsia="Arial" w:hAnsi="Arial" w:cs="Arial"/>
          <w:sz w:val="22"/>
          <w:szCs w:val="22"/>
        </w:rPr>
        <w:t>.</w:t>
      </w:r>
    </w:p>
    <w:p w14:paraId="33A2E762" w14:textId="77777777" w:rsidR="00736A3A" w:rsidRDefault="00736A3A">
      <w:pPr>
        <w:ind w:left="0" w:hanging="2"/>
        <w:rPr>
          <w:rFonts w:ascii="Arial" w:eastAsia="Arial" w:hAnsi="Arial" w:cs="Arial"/>
          <w:sz w:val="22"/>
          <w:szCs w:val="22"/>
        </w:rPr>
      </w:pPr>
    </w:p>
    <w:p w14:paraId="33A2E763" w14:textId="77777777" w:rsidR="00736A3A" w:rsidRDefault="0096329F">
      <w:pPr>
        <w:ind w:left="0" w:hanging="2"/>
        <w:rPr>
          <w:rFonts w:ascii="Arial" w:eastAsia="Arial" w:hAnsi="Arial" w:cs="Arial"/>
          <w:sz w:val="22"/>
          <w:szCs w:val="22"/>
        </w:rPr>
      </w:pPr>
      <w:r>
        <w:rPr>
          <w:rFonts w:ascii="Arial" w:eastAsia="Arial" w:hAnsi="Arial" w:cs="Arial"/>
          <w:sz w:val="22"/>
          <w:szCs w:val="22"/>
        </w:rPr>
        <w:t>Those Ministers who are Members of Parliament may also accrue an MP’s pension under the PCPF (details of which are not included in this report).</w:t>
      </w:r>
    </w:p>
    <w:p w14:paraId="33A2E764" w14:textId="77777777" w:rsidR="00736A3A" w:rsidRDefault="0096329F">
      <w:pPr>
        <w:ind w:left="0" w:hanging="2"/>
        <w:rPr>
          <w:rFonts w:ascii="Arial" w:eastAsia="Arial" w:hAnsi="Arial" w:cs="Arial"/>
          <w:sz w:val="22"/>
          <w:szCs w:val="22"/>
        </w:rPr>
      </w:pPr>
      <w:r>
        <w:rPr>
          <w:rFonts w:ascii="Arial" w:eastAsia="Arial" w:hAnsi="Arial" w:cs="Arial"/>
          <w:sz w:val="22"/>
          <w:szCs w:val="22"/>
        </w:rPr>
        <w:t xml:space="preserve"> </w:t>
      </w:r>
    </w:p>
    <w:p w14:paraId="33A2E765" w14:textId="77777777" w:rsidR="00736A3A" w:rsidRDefault="0096329F">
      <w:pPr>
        <w:ind w:left="0" w:hanging="2"/>
        <w:rPr>
          <w:rFonts w:ascii="Arial" w:eastAsia="Arial" w:hAnsi="Arial" w:cs="Arial"/>
          <w:sz w:val="22"/>
          <w:szCs w:val="22"/>
        </w:rPr>
      </w:pPr>
      <w:r>
        <w:rPr>
          <w:rFonts w:ascii="Arial" w:eastAsia="Arial" w:hAnsi="Arial" w:cs="Arial"/>
          <w:sz w:val="22"/>
          <w:szCs w:val="22"/>
        </w:rPr>
        <w:t>Benefits for Ministers are payable from State Pension age under the 2015 scheme. Pensions are re-valued annually in line with Pensions Increase legislation both before and after retirement. The contribution rate from May 2015 is 11.1% and the accrual rate is 1.775% of pensionable earnings.</w:t>
      </w:r>
    </w:p>
    <w:p w14:paraId="33A2E766" w14:textId="77777777" w:rsidR="00736A3A" w:rsidRDefault="00736A3A">
      <w:pPr>
        <w:ind w:left="0" w:hanging="2"/>
        <w:rPr>
          <w:rFonts w:ascii="Arial" w:eastAsia="Arial" w:hAnsi="Arial" w:cs="Arial"/>
          <w:sz w:val="22"/>
          <w:szCs w:val="22"/>
        </w:rPr>
      </w:pPr>
    </w:p>
    <w:p w14:paraId="33A2E767" w14:textId="77777777" w:rsidR="00736A3A" w:rsidRDefault="0096329F">
      <w:pPr>
        <w:ind w:left="0" w:hanging="2"/>
        <w:rPr>
          <w:rFonts w:ascii="Arial" w:eastAsia="Arial" w:hAnsi="Arial" w:cs="Arial"/>
          <w:sz w:val="22"/>
          <w:szCs w:val="22"/>
        </w:rPr>
      </w:pPr>
      <w:r>
        <w:rPr>
          <w:rFonts w:ascii="Arial" w:eastAsia="Arial" w:hAnsi="Arial" w:cs="Arial"/>
          <w:sz w:val="22"/>
          <w:szCs w:val="22"/>
        </w:rPr>
        <w:t>The figure shown for pension value includes the total pension payable to the member under both the pre- and post-2015 Ministerial pension schemes.</w:t>
      </w:r>
    </w:p>
    <w:p w14:paraId="33A2E768" w14:textId="77777777" w:rsidR="00736A3A" w:rsidRDefault="00736A3A">
      <w:pPr>
        <w:ind w:left="0" w:hanging="2"/>
        <w:rPr>
          <w:rFonts w:ascii="Arial" w:eastAsia="Arial" w:hAnsi="Arial" w:cs="Arial"/>
        </w:rPr>
      </w:pPr>
    </w:p>
    <w:p w14:paraId="33A2E769" w14:textId="77777777" w:rsidR="00736A3A" w:rsidRDefault="00736A3A">
      <w:pPr>
        <w:ind w:left="0" w:hanging="2"/>
        <w:rPr>
          <w:rFonts w:ascii="Arial" w:eastAsia="Arial" w:hAnsi="Arial" w:cs="Arial"/>
        </w:rPr>
      </w:pPr>
    </w:p>
    <w:p w14:paraId="33A2E76A" w14:textId="77777777" w:rsidR="00736A3A" w:rsidRDefault="0096329F">
      <w:pPr>
        <w:pBdr>
          <w:top w:val="nil"/>
          <w:left w:val="nil"/>
          <w:bottom w:val="nil"/>
          <w:right w:val="nil"/>
          <w:between w:val="nil"/>
        </w:pBdr>
        <w:spacing w:line="240" w:lineRule="auto"/>
        <w:ind w:left="0" w:hanging="2"/>
        <w:rPr>
          <w:rFonts w:ascii="Arial" w:eastAsia="Arial" w:hAnsi="Arial" w:cs="Arial"/>
          <w:b/>
          <w:color w:val="000000"/>
          <w:sz w:val="22"/>
          <w:szCs w:val="22"/>
          <w:u w:val="single"/>
        </w:rPr>
      </w:pPr>
      <w:r>
        <w:rPr>
          <w:rFonts w:ascii="Arial" w:eastAsia="Arial" w:hAnsi="Arial" w:cs="Arial"/>
          <w:b/>
          <w:color w:val="000000"/>
          <w:sz w:val="22"/>
          <w:szCs w:val="22"/>
          <w:u w:val="single"/>
        </w:rPr>
        <w:t>The Cash Equivalent Transfer Value (CETV)</w:t>
      </w:r>
    </w:p>
    <w:p w14:paraId="33A2E76B" w14:textId="77777777" w:rsidR="00736A3A" w:rsidRDefault="00736A3A">
      <w:pPr>
        <w:ind w:left="0" w:hanging="2"/>
        <w:rPr>
          <w:rFonts w:ascii="Arial" w:eastAsia="Arial" w:hAnsi="Arial" w:cs="Arial"/>
          <w:sz w:val="22"/>
          <w:szCs w:val="22"/>
        </w:rPr>
      </w:pPr>
    </w:p>
    <w:p w14:paraId="33A2E76C" w14:textId="760CC8B8" w:rsidR="00736A3A" w:rsidRDefault="0096329F">
      <w:pPr>
        <w:spacing w:after="360"/>
        <w:ind w:left="0" w:hanging="2"/>
        <w:rPr>
          <w:rFonts w:ascii="Arial" w:eastAsia="Arial" w:hAnsi="Arial" w:cs="Arial"/>
          <w:sz w:val="22"/>
          <w:szCs w:val="22"/>
        </w:rPr>
      </w:pPr>
      <w:r>
        <w:rPr>
          <w:rFonts w:ascii="Arial" w:eastAsia="Arial" w:hAnsi="Arial" w:cs="Arial"/>
          <w:sz w:val="22"/>
          <w:szCs w:val="22"/>
        </w:rPr>
        <w:t>This is the actuarially assessed capitalised value of the pension scheme benefits accrued by a member at a particular point in time.  The benefits valued are the member’s accrued benefits and any contingent spouse’s pension payable from the scheme.  A CETV is a payment made by a pension scheme or arrangement to secure pension benefits in another pension scheme or arrangement when the member leaves a scheme and chooses to transfer the pension benefits, they have accrued in their former scheme. The pension fi</w:t>
      </w:r>
      <w:r>
        <w:rPr>
          <w:rFonts w:ascii="Arial" w:eastAsia="Arial" w:hAnsi="Arial" w:cs="Arial"/>
          <w:sz w:val="22"/>
          <w:szCs w:val="22"/>
        </w:rPr>
        <w:t xml:space="preserve">gures shown relate to the benefits that the individual has accrued </w:t>
      </w:r>
      <w:r w:rsidR="00CE1725">
        <w:rPr>
          <w:rFonts w:ascii="Arial" w:eastAsia="Arial" w:hAnsi="Arial" w:cs="Arial"/>
          <w:sz w:val="22"/>
          <w:szCs w:val="22"/>
        </w:rPr>
        <w:t>because of</w:t>
      </w:r>
      <w:r>
        <w:rPr>
          <w:rFonts w:ascii="Arial" w:eastAsia="Arial" w:hAnsi="Arial" w:cs="Arial"/>
          <w:sz w:val="22"/>
          <w:szCs w:val="22"/>
        </w:rPr>
        <w:t xml:space="preserve"> their total Ministerial service, not just their current appointment as a Minister.  CETVs are calculated in accordance with The Occupational Pension Schemes (Transfer Values) (Amendment) Regulations 2008 and do not take account of any actual or potential reduction to benefits resulting from Lifetime Allowance Tax which may be due when pension benefits are taken.</w:t>
      </w:r>
    </w:p>
    <w:p w14:paraId="33A2E76D" w14:textId="77777777" w:rsidR="00736A3A" w:rsidRDefault="00736A3A">
      <w:pPr>
        <w:keepNext/>
        <w:pBdr>
          <w:top w:val="nil"/>
          <w:left w:val="nil"/>
          <w:bottom w:val="nil"/>
          <w:right w:val="nil"/>
          <w:between w:val="nil"/>
        </w:pBdr>
        <w:spacing w:line="240" w:lineRule="auto"/>
        <w:ind w:left="0" w:hanging="2"/>
        <w:rPr>
          <w:rFonts w:ascii="Arial" w:eastAsia="Arial" w:hAnsi="Arial" w:cs="Arial"/>
          <w:b/>
          <w:color w:val="000000"/>
          <w:sz w:val="22"/>
          <w:szCs w:val="22"/>
          <w:u w:val="single"/>
        </w:rPr>
      </w:pPr>
    </w:p>
    <w:p w14:paraId="33A2E76E" w14:textId="77777777" w:rsidR="00736A3A" w:rsidRDefault="0096329F">
      <w:pPr>
        <w:keepNext/>
        <w:pBdr>
          <w:top w:val="nil"/>
          <w:left w:val="nil"/>
          <w:bottom w:val="nil"/>
          <w:right w:val="nil"/>
          <w:between w:val="nil"/>
        </w:pBdr>
        <w:spacing w:line="240" w:lineRule="auto"/>
        <w:ind w:left="0" w:hanging="2"/>
        <w:rPr>
          <w:rFonts w:ascii="Arial" w:eastAsia="Arial" w:hAnsi="Arial" w:cs="Arial"/>
          <w:b/>
          <w:color w:val="000000"/>
          <w:sz w:val="22"/>
          <w:szCs w:val="22"/>
          <w:u w:val="single"/>
        </w:rPr>
      </w:pPr>
      <w:r>
        <w:rPr>
          <w:rFonts w:ascii="Arial" w:eastAsia="Arial" w:hAnsi="Arial" w:cs="Arial"/>
          <w:b/>
          <w:color w:val="000000"/>
          <w:sz w:val="22"/>
          <w:szCs w:val="22"/>
          <w:u w:val="single"/>
        </w:rPr>
        <w:t>The real increase in the value of the CETV</w:t>
      </w:r>
    </w:p>
    <w:p w14:paraId="33A2E76F" w14:textId="77777777" w:rsidR="00736A3A" w:rsidRDefault="00736A3A">
      <w:pPr>
        <w:ind w:left="0" w:hanging="2"/>
        <w:rPr>
          <w:rFonts w:ascii="Arial" w:eastAsia="Arial" w:hAnsi="Arial" w:cs="Arial"/>
          <w:sz w:val="22"/>
          <w:szCs w:val="22"/>
        </w:rPr>
      </w:pPr>
    </w:p>
    <w:p w14:paraId="33A2E770" w14:textId="77777777" w:rsidR="00736A3A" w:rsidRDefault="0096329F">
      <w:pPr>
        <w:ind w:left="0" w:hanging="2"/>
        <w:rPr>
          <w:rFonts w:ascii="Arial" w:eastAsia="Arial" w:hAnsi="Arial" w:cs="Arial"/>
          <w:sz w:val="22"/>
          <w:szCs w:val="22"/>
        </w:rPr>
      </w:pPr>
      <w:r>
        <w:rPr>
          <w:rFonts w:ascii="Arial" w:eastAsia="Arial" w:hAnsi="Arial" w:cs="Arial"/>
          <w:sz w:val="22"/>
          <w:szCs w:val="22"/>
        </w:rPr>
        <w:t>This is the element of the increase in accrued pension funded by the Exchequer.  It excludes increases due to inflation and contributions paid by the Minister.  It is worked out using common market valuation factors for the start and end of the period.</w:t>
      </w:r>
    </w:p>
    <w:p w14:paraId="33A2E771" w14:textId="77777777" w:rsidR="00736A3A" w:rsidRDefault="00736A3A">
      <w:pPr>
        <w:ind w:left="0" w:hanging="2"/>
        <w:rPr>
          <w:rFonts w:ascii="Arial" w:eastAsia="Arial" w:hAnsi="Arial" w:cs="Arial"/>
          <w:sz w:val="22"/>
          <w:szCs w:val="22"/>
        </w:rPr>
      </w:pPr>
    </w:p>
    <w:p w14:paraId="33A2E772" w14:textId="77777777" w:rsidR="00736A3A" w:rsidRDefault="00736A3A">
      <w:pPr>
        <w:ind w:left="0" w:hanging="2"/>
        <w:rPr>
          <w:rFonts w:ascii="Arial" w:eastAsia="Arial" w:hAnsi="Arial" w:cs="Arial"/>
          <w:sz w:val="22"/>
          <w:szCs w:val="22"/>
        </w:rPr>
      </w:pPr>
    </w:p>
    <w:p w14:paraId="33A2E773" w14:textId="77777777" w:rsidR="00736A3A" w:rsidRDefault="00736A3A">
      <w:pPr>
        <w:ind w:left="0" w:hanging="2"/>
        <w:rPr>
          <w:rFonts w:ascii="Arial" w:eastAsia="Arial" w:hAnsi="Arial" w:cs="Arial"/>
          <w:sz w:val="22"/>
          <w:szCs w:val="22"/>
        </w:rPr>
      </w:pPr>
    </w:p>
    <w:tbl>
      <w:tblPr>
        <w:tblStyle w:val="a2"/>
        <w:tblW w:w="10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1418"/>
        <w:gridCol w:w="1417"/>
        <w:gridCol w:w="1134"/>
        <w:gridCol w:w="1134"/>
        <w:gridCol w:w="1134"/>
        <w:gridCol w:w="1418"/>
      </w:tblGrid>
      <w:tr w:rsidR="00736A3A" w14:paraId="33A2E789" w14:textId="77777777">
        <w:tc>
          <w:tcPr>
            <w:tcW w:w="2518" w:type="dxa"/>
          </w:tcPr>
          <w:p w14:paraId="33A2E774" w14:textId="77777777" w:rsidR="00736A3A" w:rsidRDefault="0096329F">
            <w:pPr>
              <w:pStyle w:val="Heading4"/>
              <w:ind w:left="0" w:hanging="2"/>
            </w:pPr>
            <w:r>
              <w:lastRenderedPageBreak/>
              <w:t>Officials</w:t>
            </w:r>
          </w:p>
        </w:tc>
        <w:tc>
          <w:tcPr>
            <w:tcW w:w="1418" w:type="dxa"/>
          </w:tcPr>
          <w:p w14:paraId="33A2E775" w14:textId="77777777" w:rsidR="00736A3A" w:rsidRDefault="0096329F">
            <w:pPr>
              <w:ind w:left="0" w:hanging="2"/>
              <w:rPr>
                <w:rFonts w:ascii="Arial" w:eastAsia="Arial" w:hAnsi="Arial" w:cs="Arial"/>
                <w:sz w:val="22"/>
                <w:szCs w:val="22"/>
              </w:rPr>
            </w:pPr>
            <w:r>
              <w:rPr>
                <w:rFonts w:ascii="Arial" w:eastAsia="Arial" w:hAnsi="Arial" w:cs="Arial"/>
                <w:sz w:val="22"/>
                <w:szCs w:val="22"/>
              </w:rPr>
              <w:t>Accrued pension at pension age as at 31/3/2</w:t>
            </w:r>
            <w:r>
              <w:rPr>
                <w:rFonts w:ascii="Arial" w:eastAsia="Arial" w:hAnsi="Arial" w:cs="Arial"/>
                <w:sz w:val="22"/>
                <w:szCs w:val="22"/>
              </w:rPr>
              <w:t>5</w:t>
            </w:r>
            <w:r>
              <w:rPr>
                <w:rFonts w:ascii="Arial" w:eastAsia="Arial" w:hAnsi="Arial" w:cs="Arial"/>
                <w:sz w:val="22"/>
                <w:szCs w:val="22"/>
              </w:rPr>
              <w:t xml:space="preserve"> and related lump sum </w:t>
            </w:r>
          </w:p>
        </w:tc>
        <w:tc>
          <w:tcPr>
            <w:tcW w:w="1417" w:type="dxa"/>
          </w:tcPr>
          <w:p w14:paraId="33A2E776" w14:textId="77777777" w:rsidR="00736A3A" w:rsidRDefault="0096329F">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Real increase in pension and related lump sum at pension age</w:t>
            </w:r>
          </w:p>
        </w:tc>
        <w:tc>
          <w:tcPr>
            <w:tcW w:w="1134" w:type="dxa"/>
          </w:tcPr>
          <w:p w14:paraId="33A2E777" w14:textId="77777777" w:rsidR="00736A3A" w:rsidRDefault="0096329F">
            <w:pPr>
              <w:ind w:left="0" w:hanging="2"/>
              <w:rPr>
                <w:rFonts w:ascii="Arial" w:eastAsia="Arial" w:hAnsi="Arial" w:cs="Arial"/>
                <w:sz w:val="22"/>
                <w:szCs w:val="22"/>
              </w:rPr>
            </w:pPr>
            <w:r>
              <w:rPr>
                <w:rFonts w:ascii="Arial" w:eastAsia="Arial" w:hAnsi="Arial" w:cs="Arial"/>
                <w:sz w:val="22"/>
                <w:szCs w:val="22"/>
              </w:rPr>
              <w:t>CETV at 31/3/25</w:t>
            </w:r>
          </w:p>
          <w:p w14:paraId="33A2E778" w14:textId="77777777" w:rsidR="00736A3A" w:rsidRDefault="00736A3A">
            <w:pPr>
              <w:ind w:left="0" w:hanging="2"/>
              <w:rPr>
                <w:rFonts w:ascii="Arial" w:eastAsia="Arial" w:hAnsi="Arial" w:cs="Arial"/>
                <w:sz w:val="22"/>
                <w:szCs w:val="22"/>
              </w:rPr>
            </w:pPr>
          </w:p>
          <w:p w14:paraId="33A2E779" w14:textId="77777777" w:rsidR="00736A3A" w:rsidRDefault="00736A3A">
            <w:pPr>
              <w:ind w:left="0" w:hanging="2"/>
              <w:rPr>
                <w:rFonts w:ascii="Arial" w:eastAsia="Arial" w:hAnsi="Arial" w:cs="Arial"/>
                <w:sz w:val="22"/>
                <w:szCs w:val="22"/>
              </w:rPr>
            </w:pPr>
          </w:p>
          <w:p w14:paraId="33A2E77A" w14:textId="77777777" w:rsidR="00736A3A" w:rsidRDefault="00736A3A">
            <w:pPr>
              <w:ind w:left="0" w:hanging="2"/>
              <w:rPr>
                <w:rFonts w:ascii="Arial" w:eastAsia="Arial" w:hAnsi="Arial" w:cs="Arial"/>
                <w:sz w:val="22"/>
                <w:szCs w:val="22"/>
              </w:rPr>
            </w:pPr>
          </w:p>
          <w:p w14:paraId="33A2E77B" w14:textId="77777777" w:rsidR="00736A3A" w:rsidRDefault="00736A3A">
            <w:pPr>
              <w:ind w:left="0" w:hanging="2"/>
              <w:rPr>
                <w:rFonts w:ascii="Arial" w:eastAsia="Arial" w:hAnsi="Arial" w:cs="Arial"/>
                <w:sz w:val="22"/>
                <w:szCs w:val="22"/>
              </w:rPr>
            </w:pPr>
          </w:p>
          <w:p w14:paraId="33A2E77C" w14:textId="77777777" w:rsidR="00736A3A" w:rsidRDefault="00736A3A">
            <w:pPr>
              <w:ind w:left="0" w:hanging="2"/>
              <w:rPr>
                <w:rFonts w:ascii="Arial" w:eastAsia="Arial" w:hAnsi="Arial" w:cs="Arial"/>
                <w:sz w:val="22"/>
                <w:szCs w:val="22"/>
              </w:rPr>
            </w:pPr>
          </w:p>
        </w:tc>
        <w:tc>
          <w:tcPr>
            <w:tcW w:w="1134" w:type="dxa"/>
          </w:tcPr>
          <w:p w14:paraId="33A2E77D" w14:textId="77777777" w:rsidR="00736A3A" w:rsidRDefault="0096329F">
            <w:pPr>
              <w:ind w:left="0" w:hanging="2"/>
              <w:rPr>
                <w:rFonts w:ascii="Arial" w:eastAsia="Arial" w:hAnsi="Arial" w:cs="Arial"/>
                <w:sz w:val="22"/>
                <w:szCs w:val="22"/>
              </w:rPr>
            </w:pPr>
            <w:r>
              <w:rPr>
                <w:rFonts w:ascii="Arial" w:eastAsia="Arial" w:hAnsi="Arial" w:cs="Arial"/>
                <w:sz w:val="22"/>
                <w:szCs w:val="22"/>
              </w:rPr>
              <w:t>CETV at 31/3/24</w:t>
            </w:r>
            <w:r>
              <w:rPr>
                <w:rFonts w:ascii="Arial" w:eastAsia="Arial" w:hAnsi="Arial" w:cs="Arial"/>
                <w:sz w:val="22"/>
                <w:szCs w:val="22"/>
                <w:vertAlign w:val="superscript"/>
              </w:rPr>
              <w:footnoteReference w:id="4"/>
            </w:r>
          </w:p>
          <w:p w14:paraId="33A2E77E" w14:textId="77777777" w:rsidR="00736A3A" w:rsidRDefault="00736A3A">
            <w:pPr>
              <w:ind w:left="0" w:hanging="2"/>
              <w:rPr>
                <w:rFonts w:ascii="Arial" w:eastAsia="Arial" w:hAnsi="Arial" w:cs="Arial"/>
                <w:sz w:val="22"/>
                <w:szCs w:val="22"/>
              </w:rPr>
            </w:pPr>
          </w:p>
          <w:p w14:paraId="33A2E77F" w14:textId="77777777" w:rsidR="00736A3A" w:rsidRDefault="00736A3A">
            <w:pPr>
              <w:ind w:left="0" w:hanging="2"/>
              <w:rPr>
                <w:rFonts w:ascii="Arial" w:eastAsia="Arial" w:hAnsi="Arial" w:cs="Arial"/>
                <w:sz w:val="22"/>
                <w:szCs w:val="22"/>
              </w:rPr>
            </w:pPr>
          </w:p>
          <w:p w14:paraId="33A2E780" w14:textId="77777777" w:rsidR="00736A3A" w:rsidRDefault="00736A3A">
            <w:pPr>
              <w:ind w:left="0" w:hanging="2"/>
              <w:rPr>
                <w:rFonts w:ascii="Arial" w:eastAsia="Arial" w:hAnsi="Arial" w:cs="Arial"/>
                <w:sz w:val="22"/>
                <w:szCs w:val="22"/>
              </w:rPr>
            </w:pPr>
          </w:p>
          <w:p w14:paraId="33A2E781" w14:textId="77777777" w:rsidR="00736A3A" w:rsidRDefault="00736A3A">
            <w:pPr>
              <w:ind w:left="0" w:hanging="2"/>
              <w:rPr>
                <w:rFonts w:ascii="Arial" w:eastAsia="Arial" w:hAnsi="Arial" w:cs="Arial"/>
                <w:sz w:val="22"/>
                <w:szCs w:val="22"/>
              </w:rPr>
            </w:pPr>
          </w:p>
          <w:p w14:paraId="33A2E782" w14:textId="77777777" w:rsidR="00736A3A" w:rsidRDefault="00736A3A">
            <w:pPr>
              <w:ind w:left="0" w:hanging="2"/>
              <w:rPr>
                <w:rFonts w:ascii="Arial" w:eastAsia="Arial" w:hAnsi="Arial" w:cs="Arial"/>
                <w:sz w:val="22"/>
                <w:szCs w:val="22"/>
              </w:rPr>
            </w:pPr>
          </w:p>
        </w:tc>
        <w:tc>
          <w:tcPr>
            <w:tcW w:w="1134" w:type="dxa"/>
          </w:tcPr>
          <w:p w14:paraId="33A2E783" w14:textId="77777777" w:rsidR="00736A3A" w:rsidRDefault="0096329F">
            <w:pPr>
              <w:ind w:left="0" w:hanging="2"/>
              <w:rPr>
                <w:rFonts w:ascii="Arial" w:eastAsia="Arial" w:hAnsi="Arial" w:cs="Arial"/>
                <w:sz w:val="22"/>
                <w:szCs w:val="22"/>
              </w:rPr>
            </w:pPr>
            <w:r>
              <w:rPr>
                <w:rFonts w:ascii="Arial" w:eastAsia="Arial" w:hAnsi="Arial" w:cs="Arial"/>
                <w:sz w:val="22"/>
                <w:szCs w:val="22"/>
              </w:rPr>
              <w:t>Real increase in CETV</w:t>
            </w:r>
          </w:p>
          <w:p w14:paraId="33A2E784" w14:textId="77777777" w:rsidR="00736A3A" w:rsidRDefault="00736A3A">
            <w:pPr>
              <w:ind w:left="0" w:hanging="2"/>
              <w:rPr>
                <w:rFonts w:ascii="Arial" w:eastAsia="Arial" w:hAnsi="Arial" w:cs="Arial"/>
                <w:sz w:val="22"/>
                <w:szCs w:val="22"/>
              </w:rPr>
            </w:pPr>
          </w:p>
          <w:p w14:paraId="33A2E785" w14:textId="77777777" w:rsidR="00736A3A" w:rsidRDefault="00736A3A">
            <w:pPr>
              <w:ind w:left="0" w:hanging="2"/>
              <w:rPr>
                <w:rFonts w:ascii="Arial" w:eastAsia="Arial" w:hAnsi="Arial" w:cs="Arial"/>
                <w:sz w:val="22"/>
                <w:szCs w:val="22"/>
              </w:rPr>
            </w:pPr>
          </w:p>
          <w:p w14:paraId="33A2E786" w14:textId="77777777" w:rsidR="00736A3A" w:rsidRDefault="00736A3A">
            <w:pPr>
              <w:ind w:left="0" w:hanging="2"/>
              <w:rPr>
                <w:rFonts w:ascii="Arial" w:eastAsia="Arial" w:hAnsi="Arial" w:cs="Arial"/>
                <w:sz w:val="22"/>
                <w:szCs w:val="22"/>
              </w:rPr>
            </w:pPr>
          </w:p>
          <w:p w14:paraId="33A2E787" w14:textId="77777777" w:rsidR="00736A3A" w:rsidRDefault="00736A3A">
            <w:pPr>
              <w:ind w:left="0" w:hanging="2"/>
              <w:rPr>
                <w:rFonts w:ascii="Arial" w:eastAsia="Arial" w:hAnsi="Arial" w:cs="Arial"/>
                <w:sz w:val="22"/>
                <w:szCs w:val="22"/>
              </w:rPr>
            </w:pPr>
          </w:p>
        </w:tc>
        <w:tc>
          <w:tcPr>
            <w:tcW w:w="1418" w:type="dxa"/>
          </w:tcPr>
          <w:p w14:paraId="33A2E788" w14:textId="77777777" w:rsidR="00736A3A" w:rsidRDefault="0096329F">
            <w:pPr>
              <w:ind w:left="0" w:hanging="2"/>
              <w:rPr>
                <w:rFonts w:ascii="Arial" w:eastAsia="Arial" w:hAnsi="Arial" w:cs="Arial"/>
                <w:sz w:val="22"/>
                <w:szCs w:val="22"/>
              </w:rPr>
            </w:pPr>
            <w:r>
              <w:rPr>
                <w:rFonts w:ascii="Arial" w:eastAsia="Arial" w:hAnsi="Arial" w:cs="Arial"/>
                <w:sz w:val="22"/>
                <w:szCs w:val="22"/>
              </w:rPr>
              <w:t>Employer contribution to partnership pension account</w:t>
            </w:r>
          </w:p>
        </w:tc>
      </w:tr>
      <w:tr w:rsidR="00736A3A" w14:paraId="33A2E791" w14:textId="77777777">
        <w:tc>
          <w:tcPr>
            <w:tcW w:w="2518" w:type="dxa"/>
          </w:tcPr>
          <w:p w14:paraId="33A2E78A" w14:textId="77777777" w:rsidR="00736A3A" w:rsidRDefault="00736A3A">
            <w:pPr>
              <w:ind w:left="0" w:hanging="2"/>
              <w:rPr>
                <w:rFonts w:ascii="Arial" w:eastAsia="Arial" w:hAnsi="Arial" w:cs="Arial"/>
                <w:sz w:val="22"/>
                <w:szCs w:val="22"/>
              </w:rPr>
            </w:pPr>
          </w:p>
        </w:tc>
        <w:tc>
          <w:tcPr>
            <w:tcW w:w="1418" w:type="dxa"/>
          </w:tcPr>
          <w:p w14:paraId="33A2E78B" w14:textId="77777777" w:rsidR="00736A3A" w:rsidRDefault="0096329F">
            <w:pPr>
              <w:ind w:left="0" w:hanging="2"/>
              <w:jc w:val="center"/>
              <w:rPr>
                <w:rFonts w:ascii="Arial" w:eastAsia="Arial" w:hAnsi="Arial" w:cs="Arial"/>
                <w:sz w:val="22"/>
                <w:szCs w:val="22"/>
              </w:rPr>
            </w:pPr>
            <w:r>
              <w:rPr>
                <w:rFonts w:ascii="Arial" w:eastAsia="Arial" w:hAnsi="Arial" w:cs="Arial"/>
                <w:b/>
                <w:sz w:val="22"/>
                <w:szCs w:val="22"/>
              </w:rPr>
              <w:t>£’000</w:t>
            </w:r>
          </w:p>
        </w:tc>
        <w:tc>
          <w:tcPr>
            <w:tcW w:w="1417" w:type="dxa"/>
          </w:tcPr>
          <w:p w14:paraId="33A2E78C" w14:textId="77777777" w:rsidR="00736A3A" w:rsidRDefault="0096329F">
            <w:pPr>
              <w:ind w:left="0" w:hanging="2"/>
              <w:jc w:val="center"/>
              <w:rPr>
                <w:rFonts w:ascii="Arial" w:eastAsia="Arial" w:hAnsi="Arial" w:cs="Arial"/>
                <w:sz w:val="22"/>
                <w:szCs w:val="22"/>
              </w:rPr>
            </w:pPr>
            <w:r>
              <w:rPr>
                <w:rFonts w:ascii="Arial" w:eastAsia="Arial" w:hAnsi="Arial" w:cs="Arial"/>
                <w:b/>
                <w:sz w:val="22"/>
                <w:szCs w:val="22"/>
              </w:rPr>
              <w:t>£’000</w:t>
            </w:r>
          </w:p>
        </w:tc>
        <w:tc>
          <w:tcPr>
            <w:tcW w:w="1134" w:type="dxa"/>
          </w:tcPr>
          <w:p w14:paraId="33A2E78D" w14:textId="77777777" w:rsidR="00736A3A" w:rsidRDefault="0096329F">
            <w:pPr>
              <w:ind w:left="0" w:hanging="2"/>
              <w:jc w:val="center"/>
              <w:rPr>
                <w:rFonts w:ascii="Arial" w:eastAsia="Arial" w:hAnsi="Arial" w:cs="Arial"/>
                <w:sz w:val="22"/>
                <w:szCs w:val="22"/>
              </w:rPr>
            </w:pPr>
            <w:r>
              <w:rPr>
                <w:rFonts w:ascii="Arial" w:eastAsia="Arial" w:hAnsi="Arial" w:cs="Arial"/>
                <w:b/>
                <w:sz w:val="22"/>
                <w:szCs w:val="22"/>
              </w:rPr>
              <w:t>£’000</w:t>
            </w:r>
          </w:p>
        </w:tc>
        <w:tc>
          <w:tcPr>
            <w:tcW w:w="1134" w:type="dxa"/>
          </w:tcPr>
          <w:p w14:paraId="33A2E78E" w14:textId="77777777" w:rsidR="00736A3A" w:rsidRDefault="0096329F">
            <w:pPr>
              <w:ind w:left="0" w:hanging="2"/>
              <w:jc w:val="center"/>
              <w:rPr>
                <w:rFonts w:ascii="Arial" w:eastAsia="Arial" w:hAnsi="Arial" w:cs="Arial"/>
                <w:sz w:val="22"/>
                <w:szCs w:val="22"/>
              </w:rPr>
            </w:pPr>
            <w:r>
              <w:rPr>
                <w:rFonts w:ascii="Arial" w:eastAsia="Arial" w:hAnsi="Arial" w:cs="Arial"/>
                <w:b/>
                <w:sz w:val="22"/>
                <w:szCs w:val="22"/>
              </w:rPr>
              <w:t>£’000</w:t>
            </w:r>
          </w:p>
        </w:tc>
        <w:tc>
          <w:tcPr>
            <w:tcW w:w="1134" w:type="dxa"/>
          </w:tcPr>
          <w:p w14:paraId="33A2E78F" w14:textId="77777777" w:rsidR="00736A3A" w:rsidRDefault="0096329F">
            <w:pPr>
              <w:ind w:left="0" w:hanging="2"/>
              <w:jc w:val="center"/>
              <w:rPr>
                <w:rFonts w:ascii="Arial" w:eastAsia="Arial" w:hAnsi="Arial" w:cs="Arial"/>
                <w:sz w:val="22"/>
                <w:szCs w:val="22"/>
              </w:rPr>
            </w:pPr>
            <w:r>
              <w:rPr>
                <w:rFonts w:ascii="Arial" w:eastAsia="Arial" w:hAnsi="Arial" w:cs="Arial"/>
                <w:b/>
                <w:sz w:val="22"/>
                <w:szCs w:val="22"/>
              </w:rPr>
              <w:t>£’000</w:t>
            </w:r>
          </w:p>
        </w:tc>
        <w:tc>
          <w:tcPr>
            <w:tcW w:w="1418" w:type="dxa"/>
          </w:tcPr>
          <w:p w14:paraId="33A2E790" w14:textId="77777777" w:rsidR="00736A3A" w:rsidRDefault="0096329F">
            <w:pPr>
              <w:ind w:left="0" w:hanging="2"/>
              <w:jc w:val="center"/>
              <w:rPr>
                <w:rFonts w:ascii="Arial" w:eastAsia="Arial" w:hAnsi="Arial" w:cs="Arial"/>
                <w:sz w:val="22"/>
                <w:szCs w:val="22"/>
              </w:rPr>
            </w:pPr>
            <w:r>
              <w:rPr>
                <w:rFonts w:ascii="Arial" w:eastAsia="Arial" w:hAnsi="Arial" w:cs="Arial"/>
                <w:b/>
                <w:sz w:val="22"/>
                <w:szCs w:val="22"/>
              </w:rPr>
              <w:t>Nearest £100</w:t>
            </w:r>
          </w:p>
        </w:tc>
      </w:tr>
      <w:tr w:rsidR="00736A3A" w14:paraId="33A2E7A0" w14:textId="77777777">
        <w:tc>
          <w:tcPr>
            <w:tcW w:w="2518" w:type="dxa"/>
          </w:tcPr>
          <w:p w14:paraId="33A2E792" w14:textId="77777777" w:rsidR="00736A3A" w:rsidRDefault="0096329F">
            <w:pPr>
              <w:ind w:left="0" w:hanging="2"/>
              <w:rPr>
                <w:rFonts w:ascii="Arial" w:eastAsia="Arial" w:hAnsi="Arial" w:cs="Arial"/>
                <w:sz w:val="22"/>
                <w:szCs w:val="22"/>
              </w:rPr>
            </w:pPr>
            <w:r>
              <w:rPr>
                <w:rFonts w:ascii="Arial" w:eastAsia="Arial" w:hAnsi="Arial" w:cs="Arial"/>
                <w:i/>
                <w:sz w:val="22"/>
                <w:szCs w:val="22"/>
              </w:rPr>
              <w:t>Permanent Secretary</w:t>
            </w:r>
          </w:p>
          <w:p w14:paraId="33A2E793" w14:textId="77777777" w:rsidR="00736A3A" w:rsidRDefault="00736A3A">
            <w:pPr>
              <w:ind w:left="0" w:hanging="2"/>
              <w:rPr>
                <w:rFonts w:ascii="Arial" w:eastAsia="Arial" w:hAnsi="Arial" w:cs="Arial"/>
              </w:rPr>
            </w:pPr>
          </w:p>
          <w:p w14:paraId="33A2E794" w14:textId="77777777" w:rsidR="00736A3A" w:rsidRDefault="00736A3A">
            <w:pPr>
              <w:ind w:left="0" w:hanging="2"/>
              <w:rPr>
                <w:rFonts w:ascii="Arial" w:eastAsia="Arial" w:hAnsi="Arial" w:cs="Arial"/>
              </w:rPr>
            </w:pPr>
          </w:p>
          <w:p w14:paraId="33A2E795" w14:textId="77777777" w:rsidR="00736A3A" w:rsidRDefault="00736A3A">
            <w:pPr>
              <w:ind w:left="0" w:hanging="2"/>
              <w:rPr>
                <w:rFonts w:ascii="Arial" w:eastAsia="Arial" w:hAnsi="Arial" w:cs="Arial"/>
              </w:rPr>
            </w:pPr>
          </w:p>
        </w:tc>
        <w:tc>
          <w:tcPr>
            <w:tcW w:w="1418" w:type="dxa"/>
          </w:tcPr>
          <w:p w14:paraId="33A2E796" w14:textId="77777777" w:rsidR="00736A3A" w:rsidRDefault="0096329F">
            <w:pPr>
              <w:ind w:left="0" w:hanging="2"/>
              <w:jc w:val="center"/>
              <w:rPr>
                <w:rFonts w:ascii="Arial" w:eastAsia="Arial" w:hAnsi="Arial" w:cs="Arial"/>
                <w:sz w:val="22"/>
                <w:szCs w:val="22"/>
              </w:rPr>
            </w:pPr>
            <w:r>
              <w:rPr>
                <w:rFonts w:ascii="Arial" w:eastAsia="Arial" w:hAnsi="Arial" w:cs="Arial"/>
                <w:b/>
                <w:sz w:val="22"/>
                <w:szCs w:val="22"/>
              </w:rPr>
              <w:t>55-60</w:t>
            </w:r>
          </w:p>
          <w:p w14:paraId="33A2E797" w14:textId="77777777" w:rsidR="00736A3A" w:rsidRDefault="0096329F">
            <w:pPr>
              <w:ind w:left="0" w:hanging="2"/>
              <w:jc w:val="center"/>
              <w:rPr>
                <w:rFonts w:ascii="Arial" w:eastAsia="Arial" w:hAnsi="Arial" w:cs="Arial"/>
                <w:sz w:val="22"/>
                <w:szCs w:val="22"/>
              </w:rPr>
            </w:pPr>
            <w:r>
              <w:rPr>
                <w:rFonts w:ascii="Arial" w:eastAsia="Arial" w:hAnsi="Arial" w:cs="Arial"/>
                <w:b/>
                <w:sz w:val="22"/>
                <w:szCs w:val="22"/>
              </w:rPr>
              <w:t>plus lump sum of</w:t>
            </w:r>
          </w:p>
          <w:p w14:paraId="33A2E798" w14:textId="77777777" w:rsidR="00736A3A" w:rsidRDefault="0096329F">
            <w:pPr>
              <w:ind w:left="0" w:hanging="2"/>
              <w:jc w:val="center"/>
              <w:rPr>
                <w:rFonts w:ascii="Arial" w:eastAsia="Arial" w:hAnsi="Arial" w:cs="Arial"/>
                <w:sz w:val="22"/>
                <w:szCs w:val="22"/>
              </w:rPr>
            </w:pPr>
            <w:r>
              <w:rPr>
                <w:rFonts w:ascii="Arial" w:eastAsia="Arial" w:hAnsi="Arial" w:cs="Arial"/>
                <w:b/>
                <w:sz w:val="22"/>
                <w:szCs w:val="22"/>
              </w:rPr>
              <w:t>165-170</w:t>
            </w:r>
          </w:p>
        </w:tc>
        <w:tc>
          <w:tcPr>
            <w:tcW w:w="1417" w:type="dxa"/>
          </w:tcPr>
          <w:p w14:paraId="33A2E799" w14:textId="77777777" w:rsidR="00736A3A" w:rsidRDefault="0096329F">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0-2.5</w:t>
            </w:r>
          </w:p>
          <w:p w14:paraId="33A2E79A" w14:textId="77777777" w:rsidR="00736A3A" w:rsidRDefault="0096329F">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plus lump sum of</w:t>
            </w:r>
          </w:p>
          <w:p w14:paraId="33A2E79B" w14:textId="77777777" w:rsidR="00736A3A" w:rsidRDefault="0096329F">
            <w:pPr>
              <w:ind w:left="0" w:hanging="2"/>
              <w:jc w:val="center"/>
              <w:rPr>
                <w:rFonts w:ascii="Arial" w:eastAsia="Arial" w:hAnsi="Arial" w:cs="Arial"/>
                <w:sz w:val="22"/>
                <w:szCs w:val="22"/>
              </w:rPr>
            </w:pPr>
            <w:r>
              <w:rPr>
                <w:rFonts w:ascii="Arial" w:eastAsia="Arial" w:hAnsi="Arial" w:cs="Arial"/>
                <w:b/>
                <w:sz w:val="22"/>
                <w:szCs w:val="22"/>
              </w:rPr>
              <w:t>2.5-5</w:t>
            </w:r>
          </w:p>
        </w:tc>
        <w:tc>
          <w:tcPr>
            <w:tcW w:w="1134" w:type="dxa"/>
          </w:tcPr>
          <w:p w14:paraId="33A2E79C" w14:textId="77777777" w:rsidR="00736A3A" w:rsidRDefault="0096329F">
            <w:pPr>
              <w:ind w:left="0" w:hanging="2"/>
              <w:jc w:val="center"/>
              <w:rPr>
                <w:rFonts w:ascii="Arial" w:eastAsia="Arial" w:hAnsi="Arial" w:cs="Arial"/>
                <w:sz w:val="22"/>
                <w:szCs w:val="22"/>
              </w:rPr>
            </w:pPr>
            <w:r>
              <w:rPr>
                <w:rFonts w:ascii="Arial" w:eastAsia="Arial" w:hAnsi="Arial" w:cs="Arial"/>
                <w:b/>
                <w:sz w:val="22"/>
                <w:szCs w:val="22"/>
              </w:rPr>
              <w:t>983</w:t>
            </w:r>
          </w:p>
        </w:tc>
        <w:tc>
          <w:tcPr>
            <w:tcW w:w="1134" w:type="dxa"/>
          </w:tcPr>
          <w:p w14:paraId="33A2E79D" w14:textId="77777777" w:rsidR="00736A3A" w:rsidRDefault="0096329F">
            <w:pPr>
              <w:ind w:left="0" w:hanging="2"/>
              <w:jc w:val="center"/>
              <w:rPr>
                <w:rFonts w:ascii="Arial" w:eastAsia="Arial" w:hAnsi="Arial" w:cs="Arial"/>
                <w:sz w:val="22"/>
                <w:szCs w:val="22"/>
              </w:rPr>
            </w:pPr>
            <w:r>
              <w:rPr>
                <w:rFonts w:ascii="Arial" w:eastAsia="Arial" w:hAnsi="Arial" w:cs="Arial"/>
                <w:b/>
                <w:sz w:val="22"/>
                <w:szCs w:val="22"/>
              </w:rPr>
              <w:t>940</w:t>
            </w:r>
          </w:p>
        </w:tc>
        <w:tc>
          <w:tcPr>
            <w:tcW w:w="1134" w:type="dxa"/>
          </w:tcPr>
          <w:p w14:paraId="33A2E79E" w14:textId="77777777" w:rsidR="00736A3A" w:rsidRDefault="0096329F">
            <w:pPr>
              <w:ind w:left="0" w:hanging="2"/>
              <w:jc w:val="center"/>
              <w:rPr>
                <w:rFonts w:ascii="Arial" w:eastAsia="Arial" w:hAnsi="Arial" w:cs="Arial"/>
                <w:sz w:val="22"/>
                <w:szCs w:val="22"/>
              </w:rPr>
            </w:pPr>
            <w:r>
              <w:rPr>
                <w:rFonts w:ascii="Arial" w:eastAsia="Arial" w:hAnsi="Arial" w:cs="Arial"/>
                <w:b/>
                <w:sz w:val="22"/>
                <w:szCs w:val="22"/>
              </w:rPr>
              <w:t>21</w:t>
            </w:r>
          </w:p>
        </w:tc>
        <w:tc>
          <w:tcPr>
            <w:tcW w:w="1418" w:type="dxa"/>
          </w:tcPr>
          <w:p w14:paraId="33A2E79F" w14:textId="77777777" w:rsidR="00736A3A" w:rsidRDefault="0096329F">
            <w:pPr>
              <w:ind w:left="0" w:hanging="2"/>
              <w:jc w:val="center"/>
              <w:rPr>
                <w:rFonts w:ascii="Arial" w:eastAsia="Arial" w:hAnsi="Arial" w:cs="Arial"/>
                <w:sz w:val="22"/>
                <w:szCs w:val="22"/>
              </w:rPr>
            </w:pPr>
            <w:r>
              <w:rPr>
                <w:rFonts w:ascii="Arial" w:eastAsia="Arial" w:hAnsi="Arial" w:cs="Arial"/>
                <w:b/>
                <w:sz w:val="22"/>
                <w:szCs w:val="22"/>
              </w:rPr>
              <w:t>-</w:t>
            </w:r>
          </w:p>
        </w:tc>
      </w:tr>
      <w:tr w:rsidR="00736A3A" w14:paraId="33A2E7B0" w14:textId="77777777">
        <w:tc>
          <w:tcPr>
            <w:tcW w:w="2518" w:type="dxa"/>
          </w:tcPr>
          <w:p w14:paraId="33A2E7A1" w14:textId="77777777" w:rsidR="00736A3A" w:rsidRDefault="00736A3A">
            <w:pPr>
              <w:ind w:left="0" w:hanging="2"/>
              <w:rPr>
                <w:rFonts w:ascii="Arial" w:eastAsia="Arial" w:hAnsi="Arial" w:cs="Arial"/>
                <w:sz w:val="22"/>
                <w:szCs w:val="22"/>
              </w:rPr>
            </w:pPr>
          </w:p>
          <w:p w14:paraId="33A2E7A2" w14:textId="77777777" w:rsidR="00736A3A" w:rsidRDefault="0096329F">
            <w:pPr>
              <w:ind w:left="0" w:hanging="2"/>
              <w:rPr>
                <w:rFonts w:ascii="Arial" w:eastAsia="Arial" w:hAnsi="Arial" w:cs="Arial"/>
                <w:sz w:val="22"/>
                <w:szCs w:val="22"/>
              </w:rPr>
            </w:pPr>
            <w:r>
              <w:rPr>
                <w:rFonts w:ascii="Arial" w:eastAsia="Arial" w:hAnsi="Arial" w:cs="Arial"/>
                <w:i/>
                <w:sz w:val="22"/>
                <w:szCs w:val="22"/>
              </w:rPr>
              <w:t>Director General</w:t>
            </w:r>
          </w:p>
          <w:p w14:paraId="33A2E7A3" w14:textId="77777777" w:rsidR="00736A3A" w:rsidRDefault="00736A3A">
            <w:pPr>
              <w:ind w:left="0" w:hanging="2"/>
              <w:rPr>
                <w:rFonts w:ascii="Arial" w:eastAsia="Arial" w:hAnsi="Arial" w:cs="Arial"/>
              </w:rPr>
            </w:pPr>
          </w:p>
        </w:tc>
        <w:tc>
          <w:tcPr>
            <w:tcW w:w="1418" w:type="dxa"/>
          </w:tcPr>
          <w:p w14:paraId="33A2E7A4" w14:textId="77777777" w:rsidR="00736A3A" w:rsidRDefault="00736A3A">
            <w:pPr>
              <w:ind w:left="0" w:hanging="2"/>
              <w:jc w:val="center"/>
              <w:rPr>
                <w:rFonts w:ascii="Arial" w:eastAsia="Arial" w:hAnsi="Arial" w:cs="Arial"/>
                <w:sz w:val="22"/>
                <w:szCs w:val="22"/>
              </w:rPr>
            </w:pPr>
          </w:p>
          <w:p w14:paraId="33A2E7A5" w14:textId="77777777" w:rsidR="00736A3A" w:rsidRDefault="0096329F">
            <w:pPr>
              <w:ind w:left="0" w:hanging="2"/>
              <w:jc w:val="center"/>
              <w:rPr>
                <w:rFonts w:ascii="Arial" w:eastAsia="Arial" w:hAnsi="Arial" w:cs="Arial"/>
                <w:sz w:val="22"/>
                <w:szCs w:val="22"/>
              </w:rPr>
            </w:pPr>
            <w:r>
              <w:rPr>
                <w:rFonts w:ascii="Arial" w:eastAsia="Arial" w:hAnsi="Arial" w:cs="Arial"/>
                <w:b/>
                <w:sz w:val="22"/>
                <w:szCs w:val="22"/>
              </w:rPr>
              <w:t>50-55</w:t>
            </w:r>
          </w:p>
        </w:tc>
        <w:tc>
          <w:tcPr>
            <w:tcW w:w="1417" w:type="dxa"/>
          </w:tcPr>
          <w:p w14:paraId="33A2E7A6" w14:textId="77777777" w:rsidR="00736A3A" w:rsidRDefault="00736A3A">
            <w:pPr>
              <w:ind w:left="0" w:hanging="2"/>
              <w:jc w:val="center"/>
              <w:rPr>
                <w:rFonts w:ascii="Arial" w:eastAsia="Arial" w:hAnsi="Arial" w:cs="Arial"/>
                <w:sz w:val="22"/>
                <w:szCs w:val="22"/>
              </w:rPr>
            </w:pPr>
          </w:p>
          <w:p w14:paraId="33A2E7A7" w14:textId="77777777" w:rsidR="00736A3A" w:rsidRDefault="0096329F">
            <w:pPr>
              <w:ind w:left="0" w:hanging="2"/>
              <w:jc w:val="center"/>
              <w:rPr>
                <w:rFonts w:ascii="Arial" w:eastAsia="Arial" w:hAnsi="Arial" w:cs="Arial"/>
                <w:sz w:val="22"/>
                <w:szCs w:val="22"/>
              </w:rPr>
            </w:pPr>
            <w:r>
              <w:rPr>
                <w:rFonts w:ascii="Arial" w:eastAsia="Arial" w:hAnsi="Arial" w:cs="Arial"/>
                <w:b/>
                <w:sz w:val="22"/>
                <w:szCs w:val="22"/>
              </w:rPr>
              <w:t>0-2.5</w:t>
            </w:r>
          </w:p>
        </w:tc>
        <w:tc>
          <w:tcPr>
            <w:tcW w:w="1134" w:type="dxa"/>
          </w:tcPr>
          <w:p w14:paraId="33A2E7A8" w14:textId="77777777" w:rsidR="00736A3A" w:rsidRDefault="00736A3A">
            <w:pPr>
              <w:ind w:left="0" w:hanging="2"/>
              <w:jc w:val="center"/>
              <w:rPr>
                <w:rFonts w:ascii="Arial" w:eastAsia="Arial" w:hAnsi="Arial" w:cs="Arial"/>
                <w:sz w:val="22"/>
                <w:szCs w:val="22"/>
              </w:rPr>
            </w:pPr>
          </w:p>
          <w:p w14:paraId="33A2E7A9" w14:textId="77777777" w:rsidR="00736A3A" w:rsidRDefault="0096329F">
            <w:pPr>
              <w:ind w:left="0" w:hanging="2"/>
              <w:jc w:val="center"/>
              <w:rPr>
                <w:rFonts w:ascii="Arial" w:eastAsia="Arial" w:hAnsi="Arial" w:cs="Arial"/>
                <w:sz w:val="22"/>
                <w:szCs w:val="22"/>
              </w:rPr>
            </w:pPr>
            <w:r>
              <w:rPr>
                <w:rFonts w:ascii="Arial" w:eastAsia="Arial" w:hAnsi="Arial" w:cs="Arial"/>
                <w:b/>
                <w:sz w:val="22"/>
                <w:szCs w:val="22"/>
              </w:rPr>
              <w:t>680</w:t>
            </w:r>
          </w:p>
        </w:tc>
        <w:tc>
          <w:tcPr>
            <w:tcW w:w="1134" w:type="dxa"/>
          </w:tcPr>
          <w:p w14:paraId="33A2E7AA" w14:textId="77777777" w:rsidR="00736A3A" w:rsidRDefault="00736A3A">
            <w:pPr>
              <w:ind w:left="0" w:hanging="2"/>
              <w:jc w:val="center"/>
              <w:rPr>
                <w:rFonts w:ascii="Arial" w:eastAsia="Arial" w:hAnsi="Arial" w:cs="Arial"/>
                <w:sz w:val="22"/>
                <w:szCs w:val="22"/>
              </w:rPr>
            </w:pPr>
          </w:p>
          <w:p w14:paraId="33A2E7AB" w14:textId="77777777" w:rsidR="00736A3A" w:rsidRDefault="0096329F">
            <w:pPr>
              <w:ind w:left="0" w:hanging="2"/>
              <w:jc w:val="center"/>
              <w:rPr>
                <w:rFonts w:ascii="Arial" w:eastAsia="Arial" w:hAnsi="Arial" w:cs="Arial"/>
                <w:sz w:val="22"/>
                <w:szCs w:val="22"/>
              </w:rPr>
            </w:pPr>
            <w:r>
              <w:rPr>
                <w:rFonts w:ascii="Arial" w:eastAsia="Arial" w:hAnsi="Arial" w:cs="Arial"/>
                <w:b/>
                <w:sz w:val="22"/>
                <w:szCs w:val="22"/>
              </w:rPr>
              <w:t>647</w:t>
            </w:r>
          </w:p>
        </w:tc>
        <w:tc>
          <w:tcPr>
            <w:tcW w:w="1134" w:type="dxa"/>
          </w:tcPr>
          <w:p w14:paraId="33A2E7AC" w14:textId="77777777" w:rsidR="00736A3A" w:rsidRDefault="00736A3A">
            <w:pPr>
              <w:ind w:left="0" w:hanging="2"/>
              <w:jc w:val="center"/>
              <w:rPr>
                <w:rFonts w:ascii="Arial" w:eastAsia="Arial" w:hAnsi="Arial" w:cs="Arial"/>
                <w:sz w:val="22"/>
                <w:szCs w:val="22"/>
              </w:rPr>
            </w:pPr>
          </w:p>
          <w:p w14:paraId="33A2E7AD" w14:textId="77777777" w:rsidR="00736A3A" w:rsidRDefault="0096329F">
            <w:pPr>
              <w:ind w:left="0" w:hanging="2"/>
              <w:jc w:val="center"/>
              <w:rPr>
                <w:rFonts w:ascii="Arial" w:eastAsia="Arial" w:hAnsi="Arial" w:cs="Arial"/>
                <w:sz w:val="22"/>
                <w:szCs w:val="22"/>
              </w:rPr>
            </w:pPr>
            <w:r>
              <w:rPr>
                <w:rFonts w:ascii="Arial" w:eastAsia="Arial" w:hAnsi="Arial" w:cs="Arial"/>
                <w:b/>
                <w:sz w:val="22"/>
                <w:szCs w:val="22"/>
              </w:rPr>
              <w:t>15</w:t>
            </w:r>
          </w:p>
        </w:tc>
        <w:tc>
          <w:tcPr>
            <w:tcW w:w="1418" w:type="dxa"/>
          </w:tcPr>
          <w:p w14:paraId="33A2E7AE" w14:textId="77777777" w:rsidR="00736A3A" w:rsidRDefault="00736A3A">
            <w:pPr>
              <w:ind w:left="0" w:hanging="2"/>
              <w:jc w:val="center"/>
              <w:rPr>
                <w:rFonts w:ascii="Arial" w:eastAsia="Arial" w:hAnsi="Arial" w:cs="Arial"/>
                <w:sz w:val="22"/>
                <w:szCs w:val="22"/>
              </w:rPr>
            </w:pPr>
          </w:p>
          <w:p w14:paraId="33A2E7AF" w14:textId="77777777" w:rsidR="00736A3A" w:rsidRDefault="0096329F">
            <w:pPr>
              <w:ind w:left="0" w:hanging="2"/>
              <w:jc w:val="center"/>
              <w:rPr>
                <w:rFonts w:ascii="Arial" w:eastAsia="Arial" w:hAnsi="Arial" w:cs="Arial"/>
                <w:sz w:val="22"/>
                <w:szCs w:val="22"/>
              </w:rPr>
            </w:pPr>
            <w:r>
              <w:rPr>
                <w:rFonts w:ascii="Arial" w:eastAsia="Arial" w:hAnsi="Arial" w:cs="Arial"/>
                <w:b/>
                <w:sz w:val="22"/>
                <w:szCs w:val="22"/>
              </w:rPr>
              <w:t>-</w:t>
            </w:r>
          </w:p>
        </w:tc>
      </w:tr>
      <w:tr w:rsidR="00736A3A" w14:paraId="33A2E7BE" w14:textId="77777777">
        <w:tc>
          <w:tcPr>
            <w:tcW w:w="2518" w:type="dxa"/>
          </w:tcPr>
          <w:p w14:paraId="33A2E7B1" w14:textId="77777777" w:rsidR="00736A3A" w:rsidRDefault="0096329F">
            <w:pPr>
              <w:ind w:left="0" w:hanging="2"/>
              <w:rPr>
                <w:rFonts w:ascii="Arial" w:eastAsia="Arial" w:hAnsi="Arial" w:cs="Arial"/>
                <w:sz w:val="22"/>
                <w:szCs w:val="22"/>
              </w:rPr>
            </w:pPr>
            <w:r>
              <w:rPr>
                <w:rFonts w:ascii="Arial" w:eastAsia="Arial" w:hAnsi="Arial" w:cs="Arial"/>
                <w:i/>
                <w:sz w:val="22"/>
                <w:szCs w:val="22"/>
              </w:rPr>
              <w:t>Director</w:t>
            </w:r>
          </w:p>
          <w:p w14:paraId="33A2E7B2" w14:textId="77777777" w:rsidR="00736A3A" w:rsidRDefault="00736A3A">
            <w:pPr>
              <w:pStyle w:val="Heading3"/>
              <w:ind w:left="0" w:hanging="2"/>
            </w:pPr>
          </w:p>
        </w:tc>
        <w:tc>
          <w:tcPr>
            <w:tcW w:w="1418" w:type="dxa"/>
          </w:tcPr>
          <w:p w14:paraId="33A2E7B3" w14:textId="77777777" w:rsidR="00736A3A" w:rsidRDefault="0096329F">
            <w:pPr>
              <w:ind w:left="0" w:hanging="2"/>
              <w:jc w:val="center"/>
              <w:rPr>
                <w:rFonts w:ascii="Arial" w:eastAsia="Arial" w:hAnsi="Arial" w:cs="Arial"/>
                <w:sz w:val="22"/>
                <w:szCs w:val="22"/>
              </w:rPr>
            </w:pPr>
            <w:r>
              <w:rPr>
                <w:rFonts w:ascii="Arial" w:eastAsia="Arial" w:hAnsi="Arial" w:cs="Arial"/>
                <w:b/>
                <w:sz w:val="22"/>
                <w:szCs w:val="22"/>
              </w:rPr>
              <w:t>15-20</w:t>
            </w:r>
          </w:p>
          <w:p w14:paraId="33A2E7B4" w14:textId="77777777" w:rsidR="00736A3A" w:rsidRDefault="0096329F">
            <w:pPr>
              <w:ind w:left="0" w:hanging="2"/>
              <w:jc w:val="center"/>
              <w:rPr>
                <w:rFonts w:ascii="Arial" w:eastAsia="Arial" w:hAnsi="Arial" w:cs="Arial"/>
                <w:sz w:val="22"/>
                <w:szCs w:val="22"/>
              </w:rPr>
            </w:pPr>
            <w:r>
              <w:rPr>
                <w:rFonts w:ascii="Arial" w:eastAsia="Arial" w:hAnsi="Arial" w:cs="Arial"/>
                <w:b/>
                <w:sz w:val="22"/>
                <w:szCs w:val="22"/>
              </w:rPr>
              <w:t>plus lump sum of</w:t>
            </w:r>
          </w:p>
          <w:p w14:paraId="33A2E7B5" w14:textId="77777777" w:rsidR="00736A3A" w:rsidRDefault="0096329F">
            <w:pPr>
              <w:ind w:left="0" w:hanging="2"/>
              <w:jc w:val="center"/>
              <w:rPr>
                <w:rFonts w:ascii="Arial" w:eastAsia="Arial" w:hAnsi="Arial" w:cs="Arial"/>
                <w:sz w:val="22"/>
                <w:szCs w:val="22"/>
              </w:rPr>
            </w:pPr>
            <w:r>
              <w:rPr>
                <w:rFonts w:ascii="Arial" w:eastAsia="Arial" w:hAnsi="Arial" w:cs="Arial"/>
                <w:b/>
                <w:sz w:val="22"/>
                <w:szCs w:val="22"/>
              </w:rPr>
              <w:t>55-60</w:t>
            </w:r>
          </w:p>
          <w:p w14:paraId="33A2E7B6" w14:textId="77777777" w:rsidR="00736A3A" w:rsidRDefault="00736A3A">
            <w:pPr>
              <w:ind w:left="0" w:hanging="2"/>
              <w:jc w:val="center"/>
              <w:rPr>
                <w:rFonts w:ascii="Arial" w:eastAsia="Arial" w:hAnsi="Arial" w:cs="Arial"/>
                <w:sz w:val="22"/>
                <w:szCs w:val="22"/>
              </w:rPr>
            </w:pPr>
          </w:p>
        </w:tc>
        <w:tc>
          <w:tcPr>
            <w:tcW w:w="1417" w:type="dxa"/>
          </w:tcPr>
          <w:p w14:paraId="33A2E7B7" w14:textId="77777777" w:rsidR="00736A3A" w:rsidRDefault="0096329F">
            <w:pPr>
              <w:ind w:left="0" w:hanging="2"/>
              <w:jc w:val="center"/>
              <w:rPr>
                <w:rFonts w:ascii="Arial" w:eastAsia="Arial" w:hAnsi="Arial" w:cs="Arial"/>
                <w:sz w:val="22"/>
                <w:szCs w:val="22"/>
              </w:rPr>
            </w:pPr>
            <w:r>
              <w:rPr>
                <w:rFonts w:ascii="Arial" w:eastAsia="Arial" w:hAnsi="Arial" w:cs="Arial"/>
                <w:b/>
                <w:sz w:val="22"/>
                <w:szCs w:val="22"/>
              </w:rPr>
              <w:t>0-2.5</w:t>
            </w:r>
          </w:p>
          <w:p w14:paraId="33A2E7B8" w14:textId="77777777" w:rsidR="00736A3A" w:rsidRDefault="0096329F">
            <w:pPr>
              <w:ind w:left="0" w:hanging="2"/>
              <w:jc w:val="center"/>
              <w:rPr>
                <w:rFonts w:ascii="Arial" w:eastAsia="Arial" w:hAnsi="Arial" w:cs="Arial"/>
                <w:sz w:val="22"/>
                <w:szCs w:val="22"/>
              </w:rPr>
            </w:pPr>
            <w:r>
              <w:rPr>
                <w:rFonts w:ascii="Arial" w:eastAsia="Arial" w:hAnsi="Arial" w:cs="Arial"/>
                <w:b/>
                <w:sz w:val="22"/>
                <w:szCs w:val="22"/>
              </w:rPr>
              <w:t>plus lump sum of</w:t>
            </w:r>
          </w:p>
          <w:p w14:paraId="33A2E7B9" w14:textId="77777777" w:rsidR="00736A3A" w:rsidRDefault="0096329F">
            <w:pPr>
              <w:ind w:left="0" w:hanging="2"/>
              <w:jc w:val="center"/>
              <w:rPr>
                <w:rFonts w:ascii="Arial" w:eastAsia="Arial" w:hAnsi="Arial" w:cs="Arial"/>
                <w:sz w:val="22"/>
                <w:szCs w:val="22"/>
              </w:rPr>
            </w:pPr>
            <w:r>
              <w:rPr>
                <w:rFonts w:ascii="Arial" w:eastAsia="Arial" w:hAnsi="Arial" w:cs="Arial"/>
                <w:b/>
                <w:sz w:val="22"/>
                <w:szCs w:val="22"/>
              </w:rPr>
              <w:t>2.5-5</w:t>
            </w:r>
          </w:p>
        </w:tc>
        <w:tc>
          <w:tcPr>
            <w:tcW w:w="1134" w:type="dxa"/>
          </w:tcPr>
          <w:p w14:paraId="33A2E7BA" w14:textId="77777777" w:rsidR="00736A3A" w:rsidRDefault="0096329F">
            <w:pPr>
              <w:ind w:left="0" w:hanging="2"/>
              <w:jc w:val="center"/>
              <w:rPr>
                <w:rFonts w:ascii="Arial" w:eastAsia="Arial" w:hAnsi="Arial" w:cs="Arial"/>
                <w:sz w:val="22"/>
                <w:szCs w:val="22"/>
              </w:rPr>
            </w:pPr>
            <w:r>
              <w:rPr>
                <w:rFonts w:ascii="Arial" w:eastAsia="Arial" w:hAnsi="Arial" w:cs="Arial"/>
                <w:b/>
                <w:sz w:val="22"/>
                <w:szCs w:val="22"/>
              </w:rPr>
              <w:t>332</w:t>
            </w:r>
          </w:p>
        </w:tc>
        <w:tc>
          <w:tcPr>
            <w:tcW w:w="1134" w:type="dxa"/>
          </w:tcPr>
          <w:p w14:paraId="33A2E7BB" w14:textId="77777777" w:rsidR="00736A3A" w:rsidRDefault="0096329F">
            <w:pPr>
              <w:ind w:left="0" w:hanging="2"/>
              <w:jc w:val="center"/>
              <w:rPr>
                <w:rFonts w:ascii="Arial" w:eastAsia="Arial" w:hAnsi="Arial" w:cs="Arial"/>
                <w:sz w:val="22"/>
                <w:szCs w:val="22"/>
              </w:rPr>
            </w:pPr>
            <w:r>
              <w:rPr>
                <w:rFonts w:ascii="Arial" w:eastAsia="Arial" w:hAnsi="Arial" w:cs="Arial"/>
                <w:b/>
                <w:sz w:val="22"/>
                <w:szCs w:val="22"/>
              </w:rPr>
              <w:t>325</w:t>
            </w:r>
          </w:p>
        </w:tc>
        <w:tc>
          <w:tcPr>
            <w:tcW w:w="1134" w:type="dxa"/>
          </w:tcPr>
          <w:p w14:paraId="33A2E7BC" w14:textId="77777777" w:rsidR="00736A3A" w:rsidRDefault="0096329F">
            <w:pPr>
              <w:ind w:left="0" w:hanging="2"/>
              <w:jc w:val="center"/>
              <w:rPr>
                <w:rFonts w:ascii="Arial" w:eastAsia="Arial" w:hAnsi="Arial" w:cs="Arial"/>
                <w:sz w:val="22"/>
                <w:szCs w:val="22"/>
              </w:rPr>
            </w:pPr>
            <w:r>
              <w:rPr>
                <w:rFonts w:ascii="Arial" w:eastAsia="Arial" w:hAnsi="Arial" w:cs="Arial"/>
                <w:b/>
                <w:sz w:val="22"/>
                <w:szCs w:val="22"/>
              </w:rPr>
              <w:t>- 5</w:t>
            </w:r>
            <w:r>
              <w:rPr>
                <w:rFonts w:ascii="Arial" w:eastAsia="Arial" w:hAnsi="Arial" w:cs="Arial"/>
                <w:b/>
                <w:sz w:val="22"/>
                <w:szCs w:val="22"/>
                <w:vertAlign w:val="superscript"/>
              </w:rPr>
              <w:footnoteReference w:id="5"/>
            </w:r>
          </w:p>
        </w:tc>
        <w:tc>
          <w:tcPr>
            <w:tcW w:w="1418" w:type="dxa"/>
          </w:tcPr>
          <w:p w14:paraId="33A2E7BD" w14:textId="77777777" w:rsidR="00736A3A" w:rsidRDefault="0096329F">
            <w:pPr>
              <w:ind w:left="0" w:hanging="2"/>
              <w:jc w:val="center"/>
              <w:rPr>
                <w:rFonts w:ascii="Arial" w:eastAsia="Arial" w:hAnsi="Arial" w:cs="Arial"/>
                <w:sz w:val="22"/>
                <w:szCs w:val="22"/>
              </w:rPr>
            </w:pPr>
            <w:r>
              <w:rPr>
                <w:rFonts w:ascii="Arial" w:eastAsia="Arial" w:hAnsi="Arial" w:cs="Arial"/>
                <w:b/>
                <w:sz w:val="22"/>
                <w:szCs w:val="22"/>
              </w:rPr>
              <w:t>-</w:t>
            </w:r>
          </w:p>
        </w:tc>
      </w:tr>
    </w:tbl>
    <w:p w14:paraId="33A2E7BF" w14:textId="77777777" w:rsidR="00736A3A" w:rsidRDefault="00736A3A">
      <w:pPr>
        <w:pStyle w:val="Heading4"/>
        <w:ind w:left="0" w:hanging="2"/>
        <w:rPr>
          <w:u w:val="single"/>
        </w:rPr>
      </w:pPr>
    </w:p>
    <w:p w14:paraId="33A2E7C0" w14:textId="77777777" w:rsidR="00736A3A" w:rsidRDefault="00736A3A">
      <w:pPr>
        <w:pStyle w:val="Heading4"/>
        <w:ind w:left="0" w:hanging="2"/>
        <w:rPr>
          <w:u w:val="single"/>
        </w:rPr>
      </w:pPr>
    </w:p>
    <w:p w14:paraId="33A2E7C1" w14:textId="77777777" w:rsidR="00736A3A" w:rsidRDefault="0096329F">
      <w:pPr>
        <w:pStyle w:val="Heading4"/>
        <w:ind w:left="0" w:hanging="2"/>
        <w:rPr>
          <w:u w:val="single"/>
        </w:rPr>
      </w:pPr>
      <w:r>
        <w:rPr>
          <w:u w:val="single"/>
        </w:rPr>
        <w:t>Civil Service Pensions</w:t>
      </w:r>
    </w:p>
    <w:p w14:paraId="33A2E7C2" w14:textId="77777777" w:rsidR="00736A3A" w:rsidRDefault="00736A3A">
      <w:pPr>
        <w:ind w:left="0" w:hanging="2"/>
        <w:rPr>
          <w:rFonts w:ascii="Arial" w:eastAsia="Arial" w:hAnsi="Arial" w:cs="Arial"/>
          <w:sz w:val="22"/>
          <w:szCs w:val="22"/>
        </w:rPr>
      </w:pPr>
    </w:p>
    <w:p w14:paraId="33A2E7C3" w14:textId="77777777" w:rsidR="00736A3A" w:rsidRDefault="0096329F">
      <w:pPr>
        <w:ind w:left="0" w:hanging="2"/>
        <w:rPr>
          <w:rFonts w:ascii="Arial" w:eastAsia="Arial" w:hAnsi="Arial" w:cs="Arial"/>
          <w:sz w:val="22"/>
          <w:szCs w:val="22"/>
        </w:rPr>
      </w:pPr>
      <w:r>
        <w:rPr>
          <w:rFonts w:ascii="Arial" w:eastAsia="Arial" w:hAnsi="Arial" w:cs="Arial"/>
          <w:sz w:val="22"/>
          <w:szCs w:val="22"/>
        </w:rPr>
        <w:t xml:space="preserve">Pension benefits are provided through the Civil Service pension arrangements.  Before 1 April 2015, the only scheme was the Principal Civil Service Pension Scheme (PCSPS), which is divided into a few different sections – </w:t>
      </w:r>
      <w:r>
        <w:rPr>
          <w:rFonts w:ascii="Arial" w:eastAsia="Arial" w:hAnsi="Arial" w:cs="Arial"/>
          <w:b/>
          <w:sz w:val="22"/>
          <w:szCs w:val="22"/>
        </w:rPr>
        <w:t>classic, premium, and classic plus</w:t>
      </w:r>
      <w:r>
        <w:rPr>
          <w:rFonts w:ascii="Arial" w:eastAsia="Arial" w:hAnsi="Arial" w:cs="Arial"/>
          <w:sz w:val="22"/>
          <w:szCs w:val="22"/>
        </w:rPr>
        <w:t xml:space="preserve"> provide benefits on a final salary basis, whilst </w:t>
      </w:r>
      <w:r>
        <w:rPr>
          <w:rFonts w:ascii="Arial" w:eastAsia="Arial" w:hAnsi="Arial" w:cs="Arial"/>
          <w:b/>
          <w:sz w:val="22"/>
          <w:szCs w:val="22"/>
        </w:rPr>
        <w:t xml:space="preserve">nuvos </w:t>
      </w:r>
      <w:r>
        <w:rPr>
          <w:rFonts w:ascii="Arial" w:eastAsia="Arial" w:hAnsi="Arial" w:cs="Arial"/>
          <w:sz w:val="22"/>
          <w:szCs w:val="22"/>
        </w:rPr>
        <w:t xml:space="preserve">provides benefits on a career average basis.  From 1 April 2015 a new pension scheme for civil servants was introduced – the Civil Servants and Others Pension Scheme or </w:t>
      </w:r>
      <w:r>
        <w:rPr>
          <w:rFonts w:ascii="Arial" w:eastAsia="Arial" w:hAnsi="Arial" w:cs="Arial"/>
          <w:b/>
          <w:sz w:val="22"/>
          <w:szCs w:val="22"/>
        </w:rPr>
        <w:t>alpha</w:t>
      </w:r>
      <w:r>
        <w:rPr>
          <w:rFonts w:ascii="Arial" w:eastAsia="Arial" w:hAnsi="Arial" w:cs="Arial"/>
          <w:sz w:val="22"/>
          <w:szCs w:val="22"/>
        </w:rPr>
        <w:t>, which provides benefits on a career average basis.  All newly appointed civil servants, and the majority of those already in service, joined the new scheme.</w:t>
      </w:r>
    </w:p>
    <w:p w14:paraId="33A2E7C4" w14:textId="77777777" w:rsidR="00736A3A" w:rsidRDefault="00736A3A">
      <w:pPr>
        <w:ind w:left="0" w:hanging="2"/>
        <w:rPr>
          <w:rFonts w:ascii="Arial" w:eastAsia="Arial" w:hAnsi="Arial" w:cs="Arial"/>
          <w:sz w:val="22"/>
          <w:szCs w:val="22"/>
        </w:rPr>
      </w:pPr>
    </w:p>
    <w:p w14:paraId="33A2E7C5" w14:textId="77777777" w:rsidR="00736A3A" w:rsidRDefault="0096329F">
      <w:pPr>
        <w:ind w:left="0" w:hanging="2"/>
        <w:rPr>
          <w:rFonts w:ascii="Arial" w:eastAsia="Arial" w:hAnsi="Arial" w:cs="Arial"/>
          <w:sz w:val="22"/>
          <w:szCs w:val="22"/>
        </w:rPr>
      </w:pPr>
      <w:r>
        <w:rPr>
          <w:rFonts w:ascii="Arial" w:eastAsia="Arial" w:hAnsi="Arial" w:cs="Arial"/>
          <w:sz w:val="22"/>
          <w:szCs w:val="22"/>
        </w:rPr>
        <w:t xml:space="preserve">The PCSPS and </w:t>
      </w:r>
      <w:r>
        <w:rPr>
          <w:rFonts w:ascii="Arial" w:eastAsia="Arial" w:hAnsi="Arial" w:cs="Arial"/>
          <w:b/>
          <w:sz w:val="22"/>
          <w:szCs w:val="22"/>
        </w:rPr>
        <w:t>alpha</w:t>
      </w:r>
      <w:r>
        <w:rPr>
          <w:rFonts w:ascii="Arial" w:eastAsia="Arial" w:hAnsi="Arial" w:cs="Arial"/>
          <w:sz w:val="22"/>
          <w:szCs w:val="22"/>
        </w:rPr>
        <w:t xml:space="preserve"> are unfunded statutory schemes.  Employees and employers make contributions (employee contributions range between 4.6% and 8.05%, depending on salary).  The balance of the cost of benefits in payment is met by monies voted by Parliament each year.  Pensions in payment are increased annually in line with the Pensions Increase legislation.  Instead of the defined benefit arrangements, employees may opt for a defined contribution pension with an employer contribution, the </w:t>
      </w:r>
      <w:r>
        <w:rPr>
          <w:rFonts w:ascii="Arial" w:eastAsia="Arial" w:hAnsi="Arial" w:cs="Arial"/>
          <w:b/>
          <w:sz w:val="22"/>
          <w:szCs w:val="22"/>
        </w:rPr>
        <w:t>partnership</w:t>
      </w:r>
      <w:r>
        <w:rPr>
          <w:rFonts w:ascii="Arial" w:eastAsia="Arial" w:hAnsi="Arial" w:cs="Arial"/>
          <w:sz w:val="22"/>
          <w:szCs w:val="22"/>
        </w:rPr>
        <w:t xml:space="preserve"> pension account.</w:t>
      </w:r>
    </w:p>
    <w:p w14:paraId="33A2E7C6" w14:textId="77777777" w:rsidR="00736A3A" w:rsidRDefault="00736A3A">
      <w:pPr>
        <w:ind w:left="0" w:hanging="2"/>
        <w:rPr>
          <w:rFonts w:ascii="Arial" w:eastAsia="Arial" w:hAnsi="Arial" w:cs="Arial"/>
          <w:sz w:val="22"/>
          <w:szCs w:val="22"/>
        </w:rPr>
      </w:pPr>
    </w:p>
    <w:p w14:paraId="33A2E7C7" w14:textId="77777777" w:rsidR="00736A3A" w:rsidRDefault="0096329F">
      <w:pPr>
        <w:ind w:left="0" w:hanging="2"/>
        <w:rPr>
          <w:rFonts w:ascii="Arial" w:eastAsia="Arial" w:hAnsi="Arial" w:cs="Arial"/>
          <w:sz w:val="22"/>
          <w:szCs w:val="22"/>
        </w:rPr>
      </w:pPr>
      <w:r>
        <w:rPr>
          <w:rFonts w:ascii="Arial" w:eastAsia="Arial" w:hAnsi="Arial" w:cs="Arial"/>
          <w:sz w:val="22"/>
          <w:szCs w:val="22"/>
        </w:rPr>
        <w:t xml:space="preserve">In </w:t>
      </w:r>
      <w:r>
        <w:rPr>
          <w:rFonts w:ascii="Arial" w:eastAsia="Arial" w:hAnsi="Arial" w:cs="Arial"/>
          <w:b/>
          <w:sz w:val="22"/>
          <w:szCs w:val="22"/>
        </w:rPr>
        <w:t>alpha</w:t>
      </w:r>
      <w:r>
        <w:rPr>
          <w:rFonts w:ascii="Arial" w:eastAsia="Arial" w:hAnsi="Arial" w:cs="Arial"/>
          <w:sz w:val="22"/>
          <w:szCs w:val="22"/>
        </w:rPr>
        <w:t xml:space="preserve">, pension builds up at a rate of 2.32% of pensionable earnings each year, and the total amount accrued is adjusted annually in line with a rate set by HM Treasury.  Members may opt to give up (commute) pension for a lump sum up to the limits set by the Finance Act 2004.  All </w:t>
      </w:r>
      <w:r>
        <w:rPr>
          <w:rFonts w:ascii="Arial" w:eastAsia="Arial" w:hAnsi="Arial" w:cs="Arial"/>
          <w:sz w:val="22"/>
          <w:szCs w:val="22"/>
        </w:rPr>
        <w:lastRenderedPageBreak/>
        <w:t xml:space="preserve">members who switched to </w:t>
      </w:r>
      <w:r>
        <w:rPr>
          <w:rFonts w:ascii="Arial" w:eastAsia="Arial" w:hAnsi="Arial" w:cs="Arial"/>
          <w:b/>
          <w:sz w:val="22"/>
          <w:szCs w:val="22"/>
        </w:rPr>
        <w:t>alpha</w:t>
      </w:r>
      <w:r>
        <w:rPr>
          <w:rFonts w:ascii="Arial" w:eastAsia="Arial" w:hAnsi="Arial" w:cs="Arial"/>
          <w:sz w:val="22"/>
          <w:szCs w:val="22"/>
        </w:rPr>
        <w:t xml:space="preserve"> from the PCSPS had their PCSPS benefits ‘banked’, with those with earlier benefits in one of the final salary sections of the PCSPS having those benefits based on their final salary when they leave </w:t>
      </w:r>
      <w:r>
        <w:rPr>
          <w:rFonts w:ascii="Arial" w:eastAsia="Arial" w:hAnsi="Arial" w:cs="Arial"/>
          <w:b/>
          <w:sz w:val="22"/>
          <w:szCs w:val="22"/>
        </w:rPr>
        <w:t>alp</w:t>
      </w:r>
      <w:r>
        <w:rPr>
          <w:rFonts w:ascii="Arial" w:eastAsia="Arial" w:hAnsi="Arial" w:cs="Arial"/>
          <w:b/>
          <w:sz w:val="22"/>
          <w:szCs w:val="22"/>
        </w:rPr>
        <w:t>ha</w:t>
      </w:r>
      <w:r>
        <w:rPr>
          <w:rFonts w:ascii="Arial" w:eastAsia="Arial" w:hAnsi="Arial" w:cs="Arial"/>
          <w:sz w:val="22"/>
          <w:szCs w:val="22"/>
        </w:rPr>
        <w:t>.</w:t>
      </w:r>
    </w:p>
    <w:p w14:paraId="33A2E7C8" w14:textId="77777777" w:rsidR="00736A3A" w:rsidRDefault="00736A3A">
      <w:pPr>
        <w:ind w:left="0" w:hanging="2"/>
        <w:rPr>
          <w:rFonts w:ascii="Arial" w:eastAsia="Arial" w:hAnsi="Arial" w:cs="Arial"/>
          <w:sz w:val="22"/>
          <w:szCs w:val="22"/>
        </w:rPr>
      </w:pPr>
    </w:p>
    <w:p w14:paraId="33A2E7C9" w14:textId="77777777" w:rsidR="00736A3A" w:rsidRDefault="0096329F">
      <w:pPr>
        <w:ind w:left="0" w:hanging="2"/>
        <w:rPr>
          <w:rFonts w:ascii="Arial" w:eastAsia="Arial" w:hAnsi="Arial" w:cs="Arial"/>
          <w:sz w:val="22"/>
          <w:szCs w:val="22"/>
        </w:rPr>
      </w:pPr>
      <w:r>
        <w:rPr>
          <w:rFonts w:ascii="Arial" w:eastAsia="Arial" w:hAnsi="Arial" w:cs="Arial"/>
          <w:sz w:val="22"/>
          <w:szCs w:val="22"/>
        </w:rPr>
        <w:t xml:space="preserve">The accrued pensions shown in this report are the pension the member is entitled to receive when they reach normal pension age, or immediately on ceasing to be an active member of the scheme if they are already at or over normal pension age.  Normal pension age is 60 for members of </w:t>
      </w:r>
      <w:r>
        <w:rPr>
          <w:rFonts w:ascii="Arial" w:eastAsia="Arial" w:hAnsi="Arial" w:cs="Arial"/>
          <w:b/>
          <w:sz w:val="22"/>
          <w:szCs w:val="22"/>
        </w:rPr>
        <w:t>classic</w:t>
      </w:r>
      <w:r>
        <w:rPr>
          <w:rFonts w:ascii="Arial" w:eastAsia="Arial" w:hAnsi="Arial" w:cs="Arial"/>
          <w:sz w:val="22"/>
          <w:szCs w:val="22"/>
        </w:rPr>
        <w:t xml:space="preserve">, </w:t>
      </w:r>
      <w:r>
        <w:rPr>
          <w:rFonts w:ascii="Arial" w:eastAsia="Arial" w:hAnsi="Arial" w:cs="Arial"/>
          <w:b/>
          <w:sz w:val="22"/>
          <w:szCs w:val="22"/>
        </w:rPr>
        <w:t>premium,</w:t>
      </w:r>
      <w:r>
        <w:rPr>
          <w:rFonts w:ascii="Arial" w:eastAsia="Arial" w:hAnsi="Arial" w:cs="Arial"/>
          <w:sz w:val="22"/>
          <w:szCs w:val="22"/>
        </w:rPr>
        <w:t xml:space="preserve"> and </w:t>
      </w:r>
      <w:r>
        <w:rPr>
          <w:rFonts w:ascii="Arial" w:eastAsia="Arial" w:hAnsi="Arial" w:cs="Arial"/>
          <w:b/>
          <w:sz w:val="22"/>
          <w:szCs w:val="22"/>
        </w:rPr>
        <w:t>classic plus</w:t>
      </w:r>
      <w:r>
        <w:rPr>
          <w:rFonts w:ascii="Arial" w:eastAsia="Arial" w:hAnsi="Arial" w:cs="Arial"/>
          <w:sz w:val="22"/>
          <w:szCs w:val="22"/>
        </w:rPr>
        <w:t xml:space="preserve">, 65 for members of </w:t>
      </w:r>
      <w:r>
        <w:rPr>
          <w:rFonts w:ascii="Arial" w:eastAsia="Arial" w:hAnsi="Arial" w:cs="Arial"/>
          <w:b/>
          <w:sz w:val="22"/>
          <w:szCs w:val="22"/>
        </w:rPr>
        <w:t>nuvos</w:t>
      </w:r>
      <w:r>
        <w:rPr>
          <w:rFonts w:ascii="Arial" w:eastAsia="Arial" w:hAnsi="Arial" w:cs="Arial"/>
          <w:sz w:val="22"/>
          <w:szCs w:val="22"/>
        </w:rPr>
        <w:t xml:space="preserve">, and the higher of 65 or State Pension Age for members of </w:t>
      </w:r>
      <w:r>
        <w:rPr>
          <w:rFonts w:ascii="Arial" w:eastAsia="Arial" w:hAnsi="Arial" w:cs="Arial"/>
          <w:b/>
          <w:sz w:val="22"/>
          <w:szCs w:val="22"/>
        </w:rPr>
        <w:t>alpha</w:t>
      </w:r>
      <w:r>
        <w:rPr>
          <w:rFonts w:ascii="Arial" w:eastAsia="Arial" w:hAnsi="Arial" w:cs="Arial"/>
          <w:sz w:val="22"/>
          <w:szCs w:val="22"/>
        </w:rPr>
        <w:t xml:space="preserve">.  The pension figures in this report show pension earned in PCSPS or </w:t>
      </w:r>
      <w:r>
        <w:rPr>
          <w:rFonts w:ascii="Arial" w:eastAsia="Arial" w:hAnsi="Arial" w:cs="Arial"/>
          <w:b/>
          <w:sz w:val="22"/>
          <w:szCs w:val="22"/>
        </w:rPr>
        <w:t>alpha</w:t>
      </w:r>
      <w:r>
        <w:rPr>
          <w:rFonts w:ascii="Arial" w:eastAsia="Arial" w:hAnsi="Arial" w:cs="Arial"/>
          <w:sz w:val="22"/>
          <w:szCs w:val="22"/>
        </w:rPr>
        <w:t xml:space="preserve"> – as appropriate.  Where a member has benefits in both the PCSPS and </w:t>
      </w:r>
      <w:r>
        <w:rPr>
          <w:rFonts w:ascii="Arial" w:eastAsia="Arial" w:hAnsi="Arial" w:cs="Arial"/>
          <w:b/>
          <w:sz w:val="22"/>
          <w:szCs w:val="22"/>
        </w:rPr>
        <w:t>alpha</w:t>
      </w:r>
      <w:r>
        <w:rPr>
          <w:rFonts w:ascii="Arial" w:eastAsia="Arial" w:hAnsi="Arial" w:cs="Arial"/>
          <w:sz w:val="22"/>
          <w:szCs w:val="22"/>
        </w:rPr>
        <w:t>, the figures show the combined value of their benefits in the two schemes but note that the constituent parts of that pension may be payable from different ages.</w:t>
      </w:r>
    </w:p>
    <w:p w14:paraId="33A2E7CA" w14:textId="77777777" w:rsidR="00736A3A" w:rsidRDefault="00736A3A">
      <w:pPr>
        <w:ind w:left="0" w:hanging="2"/>
        <w:rPr>
          <w:rFonts w:ascii="Arial" w:eastAsia="Arial" w:hAnsi="Arial" w:cs="Arial"/>
          <w:sz w:val="22"/>
          <w:szCs w:val="22"/>
        </w:rPr>
      </w:pPr>
    </w:p>
    <w:p w14:paraId="33A2E7CB" w14:textId="77777777" w:rsidR="00736A3A" w:rsidRDefault="0096329F">
      <w:pPr>
        <w:ind w:left="0" w:hanging="2"/>
        <w:rPr>
          <w:rFonts w:ascii="Arial" w:eastAsia="Arial" w:hAnsi="Arial" w:cs="Arial"/>
          <w:sz w:val="22"/>
          <w:szCs w:val="22"/>
        </w:rPr>
      </w:pPr>
      <w:r>
        <w:rPr>
          <w:rFonts w:ascii="Arial" w:eastAsia="Arial" w:hAnsi="Arial" w:cs="Arial"/>
          <w:sz w:val="22"/>
          <w:szCs w:val="22"/>
        </w:rPr>
        <w:t xml:space="preserve">When the Government introduced new public service pension schemes in 2015, there were transitional arrangements which treated existing scheme members differently based on their age.  Older members of the PCSPS remained in that scheme, rather than moving to </w:t>
      </w:r>
      <w:r>
        <w:rPr>
          <w:rFonts w:ascii="Arial" w:eastAsia="Arial" w:hAnsi="Arial" w:cs="Arial"/>
          <w:b/>
          <w:sz w:val="22"/>
          <w:szCs w:val="22"/>
        </w:rPr>
        <w:t>alpha</w:t>
      </w:r>
      <w:r>
        <w:rPr>
          <w:rFonts w:ascii="Arial" w:eastAsia="Arial" w:hAnsi="Arial" w:cs="Arial"/>
          <w:sz w:val="22"/>
          <w:szCs w:val="22"/>
        </w:rPr>
        <w:t xml:space="preserve">.  In 2018, the Court of Appeal found that the transitional arrangements in the public service pension schemes unlawfully discriminated against younger members (the </w:t>
      </w:r>
      <w:r>
        <w:rPr>
          <w:rFonts w:ascii="Arial" w:eastAsia="Arial" w:hAnsi="Arial" w:cs="Arial"/>
          <w:sz w:val="22"/>
          <w:szCs w:val="22"/>
        </w:rPr>
        <w:t>“McCloud judgment”)</w:t>
      </w:r>
      <w:r>
        <w:rPr>
          <w:rFonts w:ascii="Arial" w:eastAsia="Arial" w:hAnsi="Arial" w:cs="Arial"/>
          <w:sz w:val="22"/>
          <w:szCs w:val="22"/>
        </w:rPr>
        <w:t>.</w:t>
      </w:r>
    </w:p>
    <w:p w14:paraId="33A2E7CC" w14:textId="77777777" w:rsidR="00736A3A" w:rsidRDefault="00736A3A">
      <w:pPr>
        <w:ind w:left="0" w:hanging="2"/>
        <w:rPr>
          <w:rFonts w:ascii="Arial" w:eastAsia="Arial" w:hAnsi="Arial" w:cs="Arial"/>
          <w:sz w:val="22"/>
          <w:szCs w:val="22"/>
        </w:rPr>
      </w:pPr>
    </w:p>
    <w:p w14:paraId="33A2E7CD" w14:textId="4B1214D5" w:rsidR="00736A3A" w:rsidRDefault="0096329F">
      <w:pPr>
        <w:ind w:left="0" w:hanging="2"/>
        <w:rPr>
          <w:rFonts w:ascii="Arial" w:eastAsia="Arial" w:hAnsi="Arial" w:cs="Arial"/>
          <w:sz w:val="22"/>
          <w:szCs w:val="22"/>
        </w:rPr>
      </w:pPr>
      <w:r>
        <w:rPr>
          <w:rFonts w:ascii="Arial" w:eastAsia="Arial" w:hAnsi="Arial" w:cs="Arial"/>
          <w:sz w:val="22"/>
          <w:szCs w:val="22"/>
        </w:rPr>
        <w:t xml:space="preserve">As a result, steps are being taken to remedy those 2015 reforms, making the pension scheme provisions fair to all members.  The </w:t>
      </w:r>
      <w:r>
        <w:rPr>
          <w:rFonts w:ascii="Arial" w:eastAsia="Arial" w:hAnsi="Arial" w:cs="Arial"/>
          <w:sz w:val="22"/>
          <w:szCs w:val="22"/>
        </w:rPr>
        <w:t>P</w:t>
      </w:r>
      <w:r>
        <w:rPr>
          <w:rFonts w:ascii="Arial" w:eastAsia="Arial" w:hAnsi="Arial" w:cs="Arial"/>
          <w:sz w:val="22"/>
          <w:szCs w:val="22"/>
        </w:rPr>
        <w:t xml:space="preserve">ublic </w:t>
      </w:r>
      <w:r>
        <w:rPr>
          <w:rFonts w:ascii="Arial" w:eastAsia="Arial" w:hAnsi="Arial" w:cs="Arial"/>
          <w:sz w:val="22"/>
          <w:szCs w:val="22"/>
        </w:rPr>
        <w:t>S</w:t>
      </w:r>
      <w:r>
        <w:rPr>
          <w:rFonts w:ascii="Arial" w:eastAsia="Arial" w:hAnsi="Arial" w:cs="Arial"/>
          <w:sz w:val="22"/>
          <w:szCs w:val="22"/>
        </w:rPr>
        <w:t xml:space="preserve">ervice </w:t>
      </w:r>
      <w:r>
        <w:rPr>
          <w:rFonts w:ascii="Arial" w:eastAsia="Arial" w:hAnsi="Arial" w:cs="Arial"/>
          <w:sz w:val="22"/>
          <w:szCs w:val="22"/>
        </w:rPr>
        <w:t>P</w:t>
      </w:r>
      <w:r>
        <w:rPr>
          <w:rFonts w:ascii="Arial" w:eastAsia="Arial" w:hAnsi="Arial" w:cs="Arial"/>
          <w:sz w:val="22"/>
          <w:szCs w:val="22"/>
        </w:rPr>
        <w:t xml:space="preserve">ensions </w:t>
      </w:r>
      <w:r>
        <w:rPr>
          <w:rFonts w:ascii="Arial" w:eastAsia="Arial" w:hAnsi="Arial" w:cs="Arial"/>
          <w:sz w:val="22"/>
          <w:szCs w:val="22"/>
        </w:rPr>
        <w:t>R</w:t>
      </w:r>
      <w:r>
        <w:rPr>
          <w:rFonts w:ascii="Arial" w:eastAsia="Arial" w:hAnsi="Arial" w:cs="Arial"/>
          <w:sz w:val="22"/>
          <w:szCs w:val="22"/>
        </w:rPr>
        <w:t>emedy</w:t>
      </w:r>
      <w:r>
        <w:rPr>
          <w:rFonts w:ascii="Arial" w:eastAsia="Arial" w:hAnsi="Arial" w:cs="Arial"/>
          <w:sz w:val="22"/>
          <w:szCs w:val="22"/>
          <w:vertAlign w:val="superscript"/>
        </w:rPr>
        <w:footnoteReference w:id="6"/>
      </w:r>
      <w:r>
        <w:rPr>
          <w:rFonts w:ascii="Arial" w:eastAsia="Arial" w:hAnsi="Arial" w:cs="Arial"/>
          <w:sz w:val="22"/>
          <w:szCs w:val="22"/>
        </w:rPr>
        <w:t xml:space="preserve"> is made up of two parts.  The first part closed the PCSPS on 31 March 2022, with all active members becoming members of </w:t>
      </w:r>
      <w:r>
        <w:rPr>
          <w:rFonts w:ascii="Arial" w:eastAsia="Arial" w:hAnsi="Arial" w:cs="Arial"/>
          <w:b/>
          <w:sz w:val="22"/>
          <w:szCs w:val="22"/>
        </w:rPr>
        <w:t>alpha</w:t>
      </w:r>
      <w:r>
        <w:rPr>
          <w:rFonts w:ascii="Arial" w:eastAsia="Arial" w:hAnsi="Arial" w:cs="Arial"/>
          <w:sz w:val="22"/>
          <w:szCs w:val="22"/>
        </w:rPr>
        <w:t xml:space="preserve"> from 1 April 2022.  The second part removes the age discrimination for the remedy period, between 1 April 2015 and 31 March 2022, by moving the membership of eligible members during this period back into the PCSPS on 1 October 2023.</w:t>
      </w:r>
    </w:p>
    <w:p w14:paraId="33A2E7CE" w14:textId="77777777" w:rsidR="00736A3A" w:rsidRDefault="0096329F">
      <w:pPr>
        <w:ind w:left="0" w:hanging="2"/>
        <w:rPr>
          <w:rFonts w:ascii="Arial" w:eastAsia="Arial" w:hAnsi="Arial" w:cs="Arial"/>
          <w:sz w:val="22"/>
          <w:szCs w:val="22"/>
        </w:rPr>
      </w:pPr>
      <w:r>
        <w:rPr>
          <w:rFonts w:ascii="Arial" w:eastAsia="Arial" w:hAnsi="Arial" w:cs="Arial"/>
          <w:sz w:val="22"/>
          <w:szCs w:val="22"/>
        </w:rPr>
        <w:t xml:space="preserve">  </w:t>
      </w:r>
    </w:p>
    <w:p w14:paraId="33A2E7CF" w14:textId="77777777" w:rsidR="00736A3A" w:rsidRDefault="0096329F">
      <w:pPr>
        <w:ind w:left="0" w:hanging="2"/>
        <w:rPr>
          <w:rFonts w:ascii="Arial" w:eastAsia="Arial" w:hAnsi="Arial" w:cs="Arial"/>
          <w:sz w:val="22"/>
          <w:szCs w:val="22"/>
        </w:rPr>
      </w:pPr>
      <w:r>
        <w:rPr>
          <w:rFonts w:ascii="Arial" w:eastAsia="Arial" w:hAnsi="Arial" w:cs="Arial"/>
          <w:sz w:val="22"/>
          <w:szCs w:val="22"/>
          <w:highlight w:val="white"/>
        </w:rPr>
        <w:t>The accrued pension benefits, Cash Equivalent Transfer Value and single total figure of remuneration reported for any individual affected by the Public Service Pensions Remedy have been calculated based on their inclusion in the PCSPS for the period between 1 April 2015 and 31 March 2022, following the McCloud judgment. The Public Service Pensions Remedy applies to individuals that were members, or eligible to be members, of a public service pension scheme on 31 March 2012 and were members of a public servi</w:t>
      </w:r>
      <w:r>
        <w:rPr>
          <w:rFonts w:ascii="Arial" w:eastAsia="Arial" w:hAnsi="Arial" w:cs="Arial"/>
          <w:sz w:val="22"/>
          <w:szCs w:val="22"/>
          <w:highlight w:val="white"/>
        </w:rPr>
        <w:t xml:space="preserve">ce pension scheme between 1 April 2015 and 31 March 2022. The basis for the calculation reflects the legal position that impacted members have been rolled back into the PCSPS for the remedy period and that this will apply unless the member actively exercises their entitlement on retirement to decide instead to receive benefits calculated under the terms of the </w:t>
      </w:r>
      <w:r>
        <w:rPr>
          <w:rFonts w:ascii="Arial" w:eastAsia="Arial" w:hAnsi="Arial" w:cs="Arial"/>
          <w:b/>
          <w:sz w:val="22"/>
          <w:szCs w:val="22"/>
          <w:highlight w:val="white"/>
        </w:rPr>
        <w:t>alpha</w:t>
      </w:r>
      <w:r>
        <w:rPr>
          <w:rFonts w:ascii="Arial" w:eastAsia="Arial" w:hAnsi="Arial" w:cs="Arial"/>
          <w:sz w:val="22"/>
          <w:szCs w:val="22"/>
          <w:highlight w:val="white"/>
        </w:rPr>
        <w:t xml:space="preserve"> scheme for the period from 1 April 2015 to 31 March 2022</w:t>
      </w:r>
    </w:p>
    <w:p w14:paraId="33A2E7D0" w14:textId="77777777" w:rsidR="00736A3A" w:rsidRDefault="00736A3A">
      <w:pPr>
        <w:ind w:left="0" w:hanging="2"/>
        <w:rPr>
          <w:rFonts w:ascii="Arial" w:eastAsia="Arial" w:hAnsi="Arial" w:cs="Arial"/>
          <w:sz w:val="22"/>
          <w:szCs w:val="22"/>
        </w:rPr>
      </w:pPr>
    </w:p>
    <w:p w14:paraId="33A2E7D1" w14:textId="07FE762A" w:rsidR="00736A3A" w:rsidRDefault="0096329F">
      <w:pPr>
        <w:ind w:left="0" w:hanging="2"/>
        <w:rPr>
          <w:rFonts w:ascii="Arial" w:eastAsia="Arial" w:hAnsi="Arial" w:cs="Arial"/>
          <w:sz w:val="22"/>
          <w:szCs w:val="22"/>
        </w:rPr>
      </w:pPr>
      <w:r>
        <w:rPr>
          <w:rFonts w:ascii="Arial" w:eastAsia="Arial" w:hAnsi="Arial" w:cs="Arial"/>
          <w:sz w:val="22"/>
          <w:szCs w:val="22"/>
        </w:rPr>
        <w:t xml:space="preserve">The </w:t>
      </w:r>
      <w:r>
        <w:rPr>
          <w:rFonts w:ascii="Arial" w:eastAsia="Arial" w:hAnsi="Arial" w:cs="Arial"/>
          <w:b/>
          <w:sz w:val="22"/>
          <w:szCs w:val="22"/>
        </w:rPr>
        <w:t>partnership</w:t>
      </w:r>
      <w:r>
        <w:rPr>
          <w:rFonts w:ascii="Arial" w:eastAsia="Arial" w:hAnsi="Arial" w:cs="Arial"/>
          <w:sz w:val="22"/>
          <w:szCs w:val="22"/>
        </w:rPr>
        <w:t xml:space="preserve"> pension account is an occupational defined contribution pension arrangement which is part of the Legal &amp; General </w:t>
      </w:r>
      <w:r w:rsidR="00FD1574">
        <w:rPr>
          <w:rFonts w:ascii="Arial" w:eastAsia="Arial" w:hAnsi="Arial" w:cs="Arial"/>
          <w:sz w:val="22"/>
          <w:szCs w:val="22"/>
        </w:rPr>
        <w:t>Master trust</w:t>
      </w:r>
      <w:r>
        <w:rPr>
          <w:rFonts w:ascii="Arial" w:eastAsia="Arial" w:hAnsi="Arial" w:cs="Arial"/>
          <w:sz w:val="22"/>
          <w:szCs w:val="22"/>
        </w:rPr>
        <w:t xml:space="preserve">.  The employer makes a basic contribution of between 8% and 14.75% (depending on the age of the member). The employee does not have to contribute but, where they do make contributions, the employer will match these up to a limit of 3% of pensionable salary (in addition to the employer’s basic contribution).  Employers also </w:t>
      </w:r>
      <w:r>
        <w:rPr>
          <w:rFonts w:ascii="Arial" w:eastAsia="Arial" w:hAnsi="Arial" w:cs="Arial"/>
          <w:sz w:val="22"/>
          <w:szCs w:val="22"/>
        </w:rPr>
        <w:lastRenderedPageBreak/>
        <w:t>contribute a further 0.5% of pensionable salary to cover the cost of centrally provided risk benefit cover (death in service and ill health retirement).</w:t>
      </w:r>
    </w:p>
    <w:p w14:paraId="33A2E7D2" w14:textId="77777777" w:rsidR="00736A3A" w:rsidRDefault="00736A3A">
      <w:pPr>
        <w:ind w:left="0" w:hanging="2"/>
        <w:rPr>
          <w:rFonts w:ascii="Arial" w:eastAsia="Arial" w:hAnsi="Arial" w:cs="Arial"/>
          <w:sz w:val="22"/>
          <w:szCs w:val="22"/>
        </w:rPr>
      </w:pPr>
    </w:p>
    <w:p w14:paraId="33A2E7D3" w14:textId="77777777" w:rsidR="00736A3A" w:rsidRDefault="0096329F">
      <w:pPr>
        <w:pBdr>
          <w:top w:val="nil"/>
          <w:left w:val="nil"/>
          <w:bottom w:val="nil"/>
          <w:right w:val="nil"/>
          <w:between w:val="nil"/>
        </w:pBdr>
        <w:spacing w:line="240" w:lineRule="auto"/>
        <w:ind w:left="0" w:hanging="2"/>
        <w:rPr>
          <w:rFonts w:ascii="Arial" w:eastAsia="Arial" w:hAnsi="Arial" w:cs="Arial"/>
          <w:color w:val="0000FF"/>
          <w:sz w:val="22"/>
          <w:szCs w:val="22"/>
          <w:u w:val="single"/>
        </w:rPr>
      </w:pPr>
      <w:r>
        <w:rPr>
          <w:rFonts w:ascii="Arial" w:eastAsia="Arial" w:hAnsi="Arial" w:cs="Arial"/>
          <w:color w:val="000000"/>
          <w:sz w:val="22"/>
          <w:szCs w:val="22"/>
        </w:rPr>
        <w:t xml:space="preserve">Further details about the Civil Service pension arrangements can be found at the website </w:t>
      </w:r>
      <w:hyperlink r:id="rId9">
        <w:r>
          <w:rPr>
            <w:rFonts w:ascii="Arial" w:eastAsia="Arial" w:hAnsi="Arial" w:cs="Arial"/>
            <w:color w:val="0000FF"/>
            <w:sz w:val="22"/>
            <w:szCs w:val="22"/>
            <w:u w:val="single"/>
          </w:rPr>
          <w:t>www.civilservicepensionscheme.org.uk</w:t>
        </w:r>
      </w:hyperlink>
    </w:p>
    <w:p w14:paraId="33A2E7D4" w14:textId="77777777" w:rsidR="00736A3A" w:rsidRDefault="00736A3A">
      <w:pPr>
        <w:pBdr>
          <w:top w:val="nil"/>
          <w:left w:val="nil"/>
          <w:bottom w:val="nil"/>
          <w:right w:val="nil"/>
          <w:between w:val="nil"/>
        </w:pBdr>
        <w:spacing w:line="240" w:lineRule="auto"/>
        <w:ind w:left="0" w:hanging="2"/>
        <w:rPr>
          <w:rFonts w:ascii="Arial" w:eastAsia="Arial" w:hAnsi="Arial" w:cs="Arial"/>
          <w:color w:val="0000FF"/>
          <w:sz w:val="22"/>
          <w:szCs w:val="22"/>
          <w:u w:val="single"/>
        </w:rPr>
      </w:pPr>
    </w:p>
    <w:p w14:paraId="33A2E7D5" w14:textId="77777777" w:rsidR="00736A3A" w:rsidRDefault="00736A3A">
      <w:pPr>
        <w:ind w:left="0" w:hanging="2"/>
        <w:rPr>
          <w:rFonts w:ascii="Arial" w:eastAsia="Arial" w:hAnsi="Arial" w:cs="Arial"/>
          <w:sz w:val="22"/>
          <w:szCs w:val="22"/>
        </w:rPr>
      </w:pPr>
    </w:p>
    <w:p w14:paraId="33A2E7D6" w14:textId="77777777" w:rsidR="00736A3A" w:rsidRDefault="0096329F">
      <w:pPr>
        <w:ind w:left="0" w:hanging="2"/>
        <w:rPr>
          <w:rFonts w:ascii="Arial" w:eastAsia="Arial" w:hAnsi="Arial" w:cs="Arial"/>
          <w:sz w:val="22"/>
          <w:szCs w:val="22"/>
          <w:u w:val="single"/>
        </w:rPr>
      </w:pPr>
      <w:r>
        <w:rPr>
          <w:rFonts w:ascii="Arial" w:eastAsia="Arial" w:hAnsi="Arial" w:cs="Arial"/>
          <w:b/>
          <w:sz w:val="22"/>
          <w:szCs w:val="22"/>
          <w:u w:val="single"/>
        </w:rPr>
        <w:t>Cash Equivalent Transfer Values</w:t>
      </w:r>
    </w:p>
    <w:p w14:paraId="33A2E7D7" w14:textId="77777777" w:rsidR="00736A3A" w:rsidRDefault="00736A3A">
      <w:pPr>
        <w:ind w:left="0" w:hanging="2"/>
        <w:rPr>
          <w:rFonts w:ascii="Arial" w:eastAsia="Arial" w:hAnsi="Arial" w:cs="Arial"/>
          <w:sz w:val="22"/>
          <w:szCs w:val="22"/>
        </w:rPr>
      </w:pPr>
    </w:p>
    <w:p w14:paraId="33A2E7D8" w14:textId="77777777" w:rsidR="00736A3A" w:rsidRDefault="0096329F">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 Cash Equivalent Transfer Value (CETV) is the actuarially assessed capitalised value of the pension scheme benefits accrued by a member at a particular point in time.  The benefits valued are the member’s accrued benefits and any contingent spouse’s pension payable from the scheme.  A CETV is a payment made by a pension scheme or arrangement to secure pension benefits in another pension scheme or arrangement when the member leaves a scheme and chooses to transfer the benefits accrued in their former scheme</w:t>
      </w:r>
      <w:r>
        <w:rPr>
          <w:rFonts w:ascii="Arial" w:eastAsia="Arial" w:hAnsi="Arial" w:cs="Arial"/>
          <w:color w:val="000000"/>
          <w:sz w:val="22"/>
          <w:szCs w:val="22"/>
        </w:rPr>
        <w:t xml:space="preserve">.  The pension figures shown relate to the benefits that the individual has accrued as a consequence of their total membership of the pension scheme, not just their service in a senior capacity to which disclosure applies. </w:t>
      </w:r>
    </w:p>
    <w:p w14:paraId="33A2E7D9" w14:textId="77777777" w:rsidR="00736A3A" w:rsidRDefault="00736A3A">
      <w:pPr>
        <w:pBdr>
          <w:top w:val="nil"/>
          <w:left w:val="nil"/>
          <w:bottom w:val="nil"/>
          <w:right w:val="nil"/>
          <w:between w:val="nil"/>
        </w:pBdr>
        <w:spacing w:line="240" w:lineRule="auto"/>
        <w:ind w:left="0" w:hanging="2"/>
        <w:rPr>
          <w:rFonts w:ascii="Arial" w:eastAsia="Arial" w:hAnsi="Arial" w:cs="Arial"/>
          <w:color w:val="000000"/>
          <w:sz w:val="22"/>
          <w:szCs w:val="22"/>
        </w:rPr>
      </w:pPr>
    </w:p>
    <w:p w14:paraId="33A2E7DA" w14:textId="77777777" w:rsidR="00736A3A" w:rsidRDefault="0096329F">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The figures include the value of any pension benefit in another scheme or arrangement which the member has transferred to the Civil Service pension arrangements.  They also include any additional pension benefit accrued to the member as a result of their buying additional pension benefits at their own cost.  </w:t>
      </w:r>
    </w:p>
    <w:p w14:paraId="33A2E7DB" w14:textId="77777777" w:rsidR="00736A3A" w:rsidRDefault="00736A3A">
      <w:pPr>
        <w:pBdr>
          <w:top w:val="nil"/>
          <w:left w:val="nil"/>
          <w:bottom w:val="nil"/>
          <w:right w:val="nil"/>
          <w:between w:val="nil"/>
        </w:pBdr>
        <w:spacing w:line="240" w:lineRule="auto"/>
        <w:ind w:left="0" w:hanging="2"/>
        <w:rPr>
          <w:rFonts w:ascii="Arial" w:eastAsia="Arial" w:hAnsi="Arial" w:cs="Arial"/>
          <w:color w:val="000000"/>
          <w:sz w:val="22"/>
          <w:szCs w:val="22"/>
        </w:rPr>
      </w:pPr>
    </w:p>
    <w:p w14:paraId="33A2E7DC" w14:textId="77777777" w:rsidR="00736A3A" w:rsidRDefault="0096329F">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CETVs are worked out in accordance with The Occupational Pension Schemes (Transfer Values) (Amendment) Regulations 2008 and do not take account of any actual or potential reduction to benefits resulting from Lifetime Allowance Tax which may be due when pension benefits are taken.</w:t>
      </w:r>
    </w:p>
    <w:p w14:paraId="33A2E7DD" w14:textId="77777777" w:rsidR="00736A3A" w:rsidRDefault="00736A3A">
      <w:pPr>
        <w:pBdr>
          <w:top w:val="nil"/>
          <w:left w:val="nil"/>
          <w:bottom w:val="nil"/>
          <w:right w:val="nil"/>
          <w:between w:val="nil"/>
        </w:pBdr>
        <w:spacing w:line="240" w:lineRule="auto"/>
        <w:ind w:left="0" w:hanging="2"/>
        <w:rPr>
          <w:rFonts w:ascii="Arial" w:eastAsia="Arial" w:hAnsi="Arial" w:cs="Arial"/>
          <w:color w:val="000000"/>
          <w:sz w:val="22"/>
          <w:szCs w:val="22"/>
        </w:rPr>
      </w:pPr>
    </w:p>
    <w:p w14:paraId="33A2E7DE" w14:textId="77777777" w:rsidR="00736A3A" w:rsidRDefault="0096329F">
      <w:pPr>
        <w:pStyle w:val="Heading4"/>
        <w:ind w:left="0" w:hanging="2"/>
        <w:rPr>
          <w:u w:val="single"/>
        </w:rPr>
      </w:pPr>
      <w:r>
        <w:rPr>
          <w:u w:val="single"/>
        </w:rPr>
        <w:t>Real increase in CETV</w:t>
      </w:r>
    </w:p>
    <w:p w14:paraId="33A2E7DF" w14:textId="77777777" w:rsidR="00736A3A" w:rsidRDefault="00736A3A">
      <w:pPr>
        <w:ind w:left="0" w:hanging="2"/>
        <w:rPr>
          <w:rFonts w:ascii="Arial" w:eastAsia="Arial" w:hAnsi="Arial" w:cs="Arial"/>
        </w:rPr>
      </w:pPr>
    </w:p>
    <w:p w14:paraId="33A2E7E0" w14:textId="77777777" w:rsidR="00736A3A" w:rsidRDefault="0096329F">
      <w:pPr>
        <w:ind w:left="0" w:hanging="2"/>
        <w:rPr>
          <w:rFonts w:ascii="Arial" w:eastAsia="Arial" w:hAnsi="Arial" w:cs="Arial"/>
          <w:sz w:val="22"/>
          <w:szCs w:val="22"/>
        </w:rPr>
      </w:pPr>
      <w:r>
        <w:rPr>
          <w:rFonts w:ascii="Arial" w:eastAsia="Arial" w:hAnsi="Arial" w:cs="Arial"/>
          <w:sz w:val="22"/>
          <w:szCs w:val="22"/>
        </w:rPr>
        <w:t>This reflects the increase in CETV that is funded by the employer.  It does not include the increase in accrued pension due to inflation, contributions paid by the employee (including the value of any benefits transferred from another pension scheme or arrangement) and uses common market valuation factors for the start and end of the period.</w:t>
      </w:r>
    </w:p>
    <w:p w14:paraId="33A2E7E1" w14:textId="77777777" w:rsidR="00736A3A" w:rsidRDefault="00736A3A">
      <w:pPr>
        <w:ind w:left="0" w:hanging="2"/>
        <w:rPr>
          <w:rFonts w:ascii="Arial" w:eastAsia="Arial" w:hAnsi="Arial" w:cs="Arial"/>
          <w:sz w:val="22"/>
          <w:szCs w:val="22"/>
        </w:rPr>
      </w:pPr>
    </w:p>
    <w:p w14:paraId="33A2E7E2" w14:textId="77777777" w:rsidR="00736A3A" w:rsidRDefault="00736A3A">
      <w:pPr>
        <w:ind w:left="0" w:hanging="2"/>
        <w:rPr>
          <w:rFonts w:ascii="Arial" w:eastAsia="Arial" w:hAnsi="Arial" w:cs="Arial"/>
          <w:sz w:val="22"/>
          <w:szCs w:val="22"/>
        </w:rPr>
      </w:pPr>
    </w:p>
    <w:p w14:paraId="33A2E7E3" w14:textId="77777777" w:rsidR="00736A3A" w:rsidRDefault="0096329F">
      <w:pPr>
        <w:ind w:left="0" w:hanging="2"/>
        <w:rPr>
          <w:rFonts w:ascii="Arial" w:eastAsia="Arial" w:hAnsi="Arial" w:cs="Arial"/>
          <w:sz w:val="22"/>
          <w:szCs w:val="22"/>
        </w:rPr>
      </w:pPr>
      <w:r>
        <w:rPr>
          <w:rFonts w:ascii="Arial" w:eastAsia="Arial" w:hAnsi="Arial" w:cs="Arial"/>
          <w:b/>
          <w:sz w:val="22"/>
          <w:szCs w:val="22"/>
          <w:u w:val="single"/>
        </w:rPr>
        <w:t>Compensation for loss of office</w:t>
      </w:r>
      <w:r>
        <w:rPr>
          <w:rFonts w:ascii="Arial" w:eastAsia="Arial" w:hAnsi="Arial" w:cs="Arial"/>
          <w:b/>
          <w:sz w:val="22"/>
          <w:szCs w:val="22"/>
        </w:rPr>
        <w:t xml:space="preserve"> </w:t>
      </w:r>
    </w:p>
    <w:p w14:paraId="33A2E7E4" w14:textId="77777777" w:rsidR="00736A3A" w:rsidRDefault="00736A3A">
      <w:pPr>
        <w:ind w:left="0" w:hanging="2"/>
        <w:rPr>
          <w:rFonts w:ascii="Arial" w:eastAsia="Arial" w:hAnsi="Arial" w:cs="Arial"/>
          <w:sz w:val="22"/>
          <w:szCs w:val="22"/>
          <w:u w:val="single"/>
        </w:rPr>
      </w:pPr>
    </w:p>
    <w:p w14:paraId="33A2E7E5" w14:textId="77777777" w:rsidR="00736A3A" w:rsidRDefault="0096329F">
      <w:pPr>
        <w:ind w:left="0" w:hanging="2"/>
        <w:rPr>
          <w:rFonts w:ascii="Arial" w:eastAsia="Arial" w:hAnsi="Arial" w:cs="Arial"/>
          <w:sz w:val="22"/>
          <w:szCs w:val="22"/>
        </w:rPr>
      </w:pPr>
      <w:r>
        <w:rPr>
          <w:rFonts w:ascii="Arial" w:eastAsia="Arial" w:hAnsi="Arial" w:cs="Arial"/>
          <w:sz w:val="22"/>
          <w:szCs w:val="22"/>
          <w:highlight w:val="lightGray"/>
        </w:rPr>
        <w:t>X</w:t>
      </w:r>
      <w:r>
        <w:rPr>
          <w:rFonts w:ascii="Arial" w:eastAsia="Arial" w:hAnsi="Arial" w:cs="Arial"/>
          <w:sz w:val="22"/>
          <w:szCs w:val="22"/>
        </w:rPr>
        <w:t xml:space="preserve"> left under [Voluntary Exit] terms on </w:t>
      </w:r>
      <w:r>
        <w:rPr>
          <w:rFonts w:ascii="Arial" w:eastAsia="Arial" w:hAnsi="Arial" w:cs="Arial"/>
          <w:sz w:val="22"/>
          <w:szCs w:val="22"/>
          <w:highlight w:val="lightGray"/>
        </w:rPr>
        <w:t>XX Month Year</w:t>
      </w:r>
      <w:r>
        <w:rPr>
          <w:rFonts w:ascii="Arial" w:eastAsia="Arial" w:hAnsi="Arial" w:cs="Arial"/>
          <w:sz w:val="22"/>
          <w:szCs w:val="22"/>
        </w:rPr>
        <w:t xml:space="preserve">.  They received a compensation payment of </w:t>
      </w:r>
      <w:r>
        <w:rPr>
          <w:rFonts w:ascii="Arial" w:eastAsia="Arial" w:hAnsi="Arial" w:cs="Arial"/>
          <w:sz w:val="22"/>
          <w:szCs w:val="22"/>
          <w:highlight w:val="lightGray"/>
        </w:rPr>
        <w:t>£XX-XX 000</w:t>
      </w:r>
      <w:r>
        <w:rPr>
          <w:rFonts w:ascii="Arial" w:eastAsia="Arial" w:hAnsi="Arial" w:cs="Arial"/>
          <w:sz w:val="22"/>
          <w:szCs w:val="22"/>
        </w:rPr>
        <w:t>.</w:t>
      </w:r>
    </w:p>
    <w:p w14:paraId="33A2E7E6" w14:textId="77777777" w:rsidR="00736A3A" w:rsidRDefault="00736A3A">
      <w:pPr>
        <w:ind w:left="0" w:hanging="2"/>
        <w:rPr>
          <w:rFonts w:ascii="Arial" w:eastAsia="Arial" w:hAnsi="Arial" w:cs="Arial"/>
          <w:sz w:val="22"/>
          <w:szCs w:val="22"/>
        </w:rPr>
      </w:pPr>
    </w:p>
    <w:p w14:paraId="33A2E7E7" w14:textId="77777777" w:rsidR="00736A3A" w:rsidRDefault="0096329F">
      <w:pPr>
        <w:ind w:left="0" w:hanging="2"/>
        <w:rPr>
          <w:rFonts w:ascii="Arial" w:eastAsia="Arial" w:hAnsi="Arial" w:cs="Arial"/>
          <w:sz w:val="22"/>
          <w:szCs w:val="22"/>
        </w:rPr>
      </w:pPr>
      <w:r>
        <w:rPr>
          <w:rFonts w:ascii="Arial" w:eastAsia="Arial" w:hAnsi="Arial" w:cs="Arial"/>
          <w:sz w:val="22"/>
          <w:szCs w:val="22"/>
          <w:highlight w:val="lightGray"/>
        </w:rPr>
        <w:t>X</w:t>
      </w:r>
      <w:r>
        <w:rPr>
          <w:rFonts w:ascii="Arial" w:eastAsia="Arial" w:hAnsi="Arial" w:cs="Arial"/>
          <w:sz w:val="22"/>
          <w:szCs w:val="22"/>
        </w:rPr>
        <w:t xml:space="preserve"> left under [Voluntary Redundancy] terms on </w:t>
      </w:r>
      <w:r>
        <w:rPr>
          <w:rFonts w:ascii="Arial" w:eastAsia="Arial" w:hAnsi="Arial" w:cs="Arial"/>
          <w:sz w:val="22"/>
          <w:szCs w:val="22"/>
          <w:highlight w:val="lightGray"/>
        </w:rPr>
        <w:t>XX Month Year</w:t>
      </w:r>
      <w:r>
        <w:rPr>
          <w:rFonts w:ascii="Arial" w:eastAsia="Arial" w:hAnsi="Arial" w:cs="Arial"/>
          <w:sz w:val="22"/>
          <w:szCs w:val="22"/>
        </w:rPr>
        <w:t xml:space="preserve">.  They elected to take early retirement.  The cost to the Department of buying out the actuarial reduction on their pension was </w:t>
      </w:r>
      <w:r>
        <w:rPr>
          <w:rFonts w:ascii="Arial" w:eastAsia="Arial" w:hAnsi="Arial" w:cs="Arial"/>
          <w:sz w:val="22"/>
          <w:szCs w:val="22"/>
          <w:highlight w:val="lightGray"/>
        </w:rPr>
        <w:t>£XX-XX 000</w:t>
      </w:r>
      <w:r>
        <w:rPr>
          <w:rFonts w:ascii="Arial" w:eastAsia="Arial" w:hAnsi="Arial" w:cs="Arial"/>
          <w:sz w:val="22"/>
          <w:szCs w:val="22"/>
        </w:rPr>
        <w:t>.  They did not receive any additional compensation.</w:t>
      </w:r>
    </w:p>
    <w:p w14:paraId="33A2E7E8" w14:textId="77777777" w:rsidR="00736A3A" w:rsidRDefault="00736A3A">
      <w:pPr>
        <w:ind w:left="0" w:hanging="2"/>
        <w:rPr>
          <w:rFonts w:ascii="Arial" w:eastAsia="Arial" w:hAnsi="Arial" w:cs="Arial"/>
          <w:sz w:val="22"/>
          <w:szCs w:val="22"/>
        </w:rPr>
      </w:pPr>
    </w:p>
    <w:p w14:paraId="33A2E7E9" w14:textId="77777777" w:rsidR="00736A3A" w:rsidRDefault="0096329F">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Ministers</w:t>
      </w:r>
    </w:p>
    <w:p w14:paraId="33A2E7EA" w14:textId="77777777" w:rsidR="00736A3A" w:rsidRDefault="00736A3A">
      <w:pPr>
        <w:pBdr>
          <w:top w:val="nil"/>
          <w:left w:val="nil"/>
          <w:bottom w:val="nil"/>
          <w:right w:val="nil"/>
          <w:between w:val="nil"/>
        </w:pBdr>
        <w:spacing w:line="240" w:lineRule="auto"/>
        <w:ind w:left="0" w:hanging="2"/>
        <w:rPr>
          <w:rFonts w:ascii="Arial" w:eastAsia="Arial" w:hAnsi="Arial" w:cs="Arial"/>
          <w:color w:val="000000"/>
          <w:sz w:val="22"/>
          <w:szCs w:val="22"/>
        </w:rPr>
      </w:pPr>
    </w:p>
    <w:p w14:paraId="33A2E7EB" w14:textId="77777777" w:rsidR="00736A3A" w:rsidRDefault="0096329F">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highlight w:val="lightGray"/>
        </w:rPr>
        <w:lastRenderedPageBreak/>
        <w:t>X</w:t>
      </w:r>
      <w:r>
        <w:rPr>
          <w:rFonts w:ascii="Arial" w:eastAsia="Arial" w:hAnsi="Arial" w:cs="Arial"/>
          <w:color w:val="000000"/>
          <w:sz w:val="22"/>
          <w:szCs w:val="22"/>
        </w:rPr>
        <w:t xml:space="preserve"> left under severance terms on </w:t>
      </w:r>
      <w:r>
        <w:rPr>
          <w:rFonts w:ascii="Arial" w:eastAsia="Arial" w:hAnsi="Arial" w:cs="Arial"/>
          <w:color w:val="000000"/>
          <w:sz w:val="22"/>
          <w:szCs w:val="22"/>
          <w:highlight w:val="lightGray"/>
        </w:rPr>
        <w:t>XX Month Year</w:t>
      </w:r>
      <w:r>
        <w:rPr>
          <w:rFonts w:ascii="Arial" w:eastAsia="Arial" w:hAnsi="Arial" w:cs="Arial"/>
          <w:color w:val="000000"/>
          <w:sz w:val="22"/>
          <w:szCs w:val="22"/>
        </w:rPr>
        <w:t xml:space="preserve">.  They received a compensation payment of </w:t>
      </w:r>
      <w:r>
        <w:rPr>
          <w:rFonts w:ascii="Arial" w:eastAsia="Arial" w:hAnsi="Arial" w:cs="Arial"/>
          <w:color w:val="000000"/>
          <w:sz w:val="22"/>
          <w:szCs w:val="22"/>
          <w:highlight w:val="lightGray"/>
        </w:rPr>
        <w:t>£XX-XX 000</w:t>
      </w:r>
      <w:r>
        <w:rPr>
          <w:rFonts w:ascii="Arial" w:eastAsia="Arial" w:hAnsi="Arial" w:cs="Arial"/>
          <w:color w:val="000000"/>
          <w:sz w:val="22"/>
          <w:szCs w:val="22"/>
        </w:rPr>
        <w:t>.</w:t>
      </w:r>
    </w:p>
    <w:p w14:paraId="33A2E7EC" w14:textId="77777777" w:rsidR="00736A3A" w:rsidRDefault="00736A3A">
      <w:pPr>
        <w:ind w:left="0" w:hanging="2"/>
        <w:rPr>
          <w:rFonts w:ascii="Arial" w:eastAsia="Arial" w:hAnsi="Arial" w:cs="Arial"/>
          <w:sz w:val="22"/>
          <w:szCs w:val="22"/>
          <w:u w:val="single"/>
        </w:rPr>
        <w:sectPr w:rsidR="00736A3A">
          <w:headerReference w:type="default" r:id="rId10"/>
          <w:footerReference w:type="default" r:id="rId11"/>
          <w:pgSz w:w="11906" w:h="16838"/>
          <w:pgMar w:top="1417" w:right="1273" w:bottom="1134" w:left="1273" w:header="1440" w:footer="1440" w:gutter="0"/>
          <w:pgNumType w:start="1"/>
          <w:cols w:space="720"/>
        </w:sectPr>
      </w:pPr>
    </w:p>
    <w:p w14:paraId="33A2E7ED" w14:textId="5B53218A" w:rsidR="00736A3A" w:rsidRDefault="0096329F">
      <w:pPr>
        <w:ind w:left="0" w:hanging="2"/>
        <w:rPr>
          <w:rFonts w:ascii="Arial" w:eastAsia="Arial" w:hAnsi="Arial" w:cs="Arial"/>
        </w:rPr>
      </w:pPr>
      <w:r>
        <w:rPr>
          <w:rFonts w:ascii="Arial" w:eastAsia="Arial" w:hAnsi="Arial" w:cs="Arial"/>
          <w:b/>
        </w:rPr>
        <w:lastRenderedPageBreak/>
        <w:t xml:space="preserve">Reporting of Civil Service and other compensation schemes – exit </w:t>
      </w:r>
      <w:r w:rsidR="00FD1574">
        <w:rPr>
          <w:rFonts w:ascii="Arial" w:eastAsia="Arial" w:hAnsi="Arial" w:cs="Arial"/>
          <w:b/>
        </w:rPr>
        <w:t>packages.</w:t>
      </w:r>
    </w:p>
    <w:p w14:paraId="33A2E7EE" w14:textId="77777777" w:rsidR="00736A3A" w:rsidRDefault="00736A3A">
      <w:pPr>
        <w:ind w:left="0" w:hanging="2"/>
        <w:rPr>
          <w:rFonts w:ascii="Arial" w:eastAsia="Arial" w:hAnsi="Arial" w:cs="Arial"/>
          <w:color w:val="7F7F7F"/>
          <w:sz w:val="18"/>
          <w:szCs w:val="18"/>
        </w:rPr>
      </w:pPr>
    </w:p>
    <w:p w14:paraId="33A2E7EF" w14:textId="4477CC3B" w:rsidR="00736A3A" w:rsidRDefault="0096329F">
      <w:pPr>
        <w:ind w:left="0" w:hanging="2"/>
        <w:rPr>
          <w:rFonts w:ascii="Arial" w:eastAsia="Arial" w:hAnsi="Arial" w:cs="Arial"/>
          <w:color w:val="7F7F7F"/>
          <w:sz w:val="18"/>
          <w:szCs w:val="18"/>
        </w:rPr>
      </w:pPr>
      <w:r>
        <w:rPr>
          <w:rFonts w:ascii="Arial" w:eastAsia="Arial" w:hAnsi="Arial" w:cs="Arial"/>
          <w:i/>
          <w:color w:val="7F7F7F"/>
          <w:sz w:val="18"/>
          <w:szCs w:val="18"/>
        </w:rPr>
        <w:t xml:space="preserve">Comparative data to be shown (in brackets) for previous </w:t>
      </w:r>
      <w:r w:rsidR="00550703">
        <w:rPr>
          <w:rFonts w:ascii="Arial" w:eastAsia="Arial" w:hAnsi="Arial" w:cs="Arial"/>
          <w:i/>
          <w:color w:val="7F7F7F"/>
          <w:sz w:val="18"/>
          <w:szCs w:val="18"/>
        </w:rPr>
        <w:t>year.</w:t>
      </w:r>
    </w:p>
    <w:p w14:paraId="33A2E7F0" w14:textId="77777777" w:rsidR="00736A3A" w:rsidRDefault="00736A3A">
      <w:pPr>
        <w:ind w:left="0" w:hanging="2"/>
        <w:rPr>
          <w:rFonts w:ascii="Arial" w:eastAsia="Arial" w:hAnsi="Arial" w:cs="Arial"/>
          <w:color w:val="7F7F7F"/>
          <w:sz w:val="18"/>
          <w:szCs w:val="18"/>
        </w:rPr>
      </w:pPr>
    </w:p>
    <w:tbl>
      <w:tblPr>
        <w:tblStyle w:val="a3"/>
        <w:tblW w:w="145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
        <w:gridCol w:w="1350"/>
        <w:gridCol w:w="1477"/>
        <w:gridCol w:w="1369"/>
        <w:gridCol w:w="1349"/>
        <w:gridCol w:w="1602"/>
        <w:gridCol w:w="1369"/>
        <w:gridCol w:w="1349"/>
        <w:gridCol w:w="1602"/>
        <w:gridCol w:w="1369"/>
        <w:gridCol w:w="1349"/>
      </w:tblGrid>
      <w:tr w:rsidR="00736A3A" w14:paraId="33A2E7F6" w14:textId="77777777">
        <w:tc>
          <w:tcPr>
            <w:tcW w:w="318" w:type="dxa"/>
          </w:tcPr>
          <w:p w14:paraId="33A2E7F1" w14:textId="77777777" w:rsidR="00736A3A" w:rsidRDefault="00736A3A">
            <w:pPr>
              <w:ind w:left="0" w:hanging="2"/>
              <w:rPr>
                <w:rFonts w:ascii="Arial" w:eastAsia="Arial" w:hAnsi="Arial" w:cs="Arial"/>
                <w:sz w:val="18"/>
                <w:szCs w:val="18"/>
              </w:rPr>
            </w:pPr>
          </w:p>
        </w:tc>
        <w:tc>
          <w:tcPr>
            <w:tcW w:w="1350" w:type="dxa"/>
          </w:tcPr>
          <w:p w14:paraId="33A2E7F2" w14:textId="77777777" w:rsidR="00736A3A" w:rsidRDefault="00736A3A">
            <w:pPr>
              <w:ind w:left="0" w:hanging="2"/>
              <w:rPr>
                <w:rFonts w:ascii="Arial" w:eastAsia="Arial" w:hAnsi="Arial" w:cs="Arial"/>
                <w:sz w:val="18"/>
                <w:szCs w:val="18"/>
              </w:rPr>
            </w:pPr>
          </w:p>
        </w:tc>
        <w:tc>
          <w:tcPr>
            <w:tcW w:w="4195" w:type="dxa"/>
            <w:gridSpan w:val="3"/>
          </w:tcPr>
          <w:p w14:paraId="33A2E7F3" w14:textId="77777777" w:rsidR="00736A3A" w:rsidRDefault="0096329F">
            <w:pPr>
              <w:ind w:left="0" w:hanging="2"/>
              <w:jc w:val="center"/>
              <w:rPr>
                <w:rFonts w:ascii="Arial" w:eastAsia="Arial" w:hAnsi="Arial" w:cs="Arial"/>
                <w:sz w:val="18"/>
                <w:szCs w:val="18"/>
              </w:rPr>
            </w:pPr>
            <w:r>
              <w:rPr>
                <w:rFonts w:ascii="Arial" w:eastAsia="Arial" w:hAnsi="Arial" w:cs="Arial"/>
                <w:b/>
                <w:sz w:val="18"/>
                <w:szCs w:val="18"/>
              </w:rPr>
              <w:t>Core Dept</w:t>
            </w:r>
          </w:p>
        </w:tc>
        <w:tc>
          <w:tcPr>
            <w:tcW w:w="4320" w:type="dxa"/>
            <w:gridSpan w:val="3"/>
          </w:tcPr>
          <w:p w14:paraId="33A2E7F4" w14:textId="77777777" w:rsidR="00736A3A" w:rsidRDefault="0096329F">
            <w:pPr>
              <w:ind w:left="0" w:hanging="2"/>
              <w:jc w:val="center"/>
              <w:rPr>
                <w:rFonts w:ascii="Arial" w:eastAsia="Arial" w:hAnsi="Arial" w:cs="Arial"/>
                <w:sz w:val="18"/>
                <w:szCs w:val="18"/>
              </w:rPr>
            </w:pPr>
            <w:r>
              <w:rPr>
                <w:rFonts w:ascii="Arial" w:eastAsia="Arial" w:hAnsi="Arial" w:cs="Arial"/>
                <w:b/>
                <w:sz w:val="18"/>
                <w:szCs w:val="18"/>
              </w:rPr>
              <w:t>Core Dept. &amp; Agencies</w:t>
            </w:r>
          </w:p>
        </w:tc>
        <w:tc>
          <w:tcPr>
            <w:tcW w:w="4320" w:type="dxa"/>
            <w:gridSpan w:val="3"/>
          </w:tcPr>
          <w:p w14:paraId="33A2E7F5" w14:textId="77777777" w:rsidR="00736A3A" w:rsidRDefault="0096329F">
            <w:pPr>
              <w:ind w:left="0" w:hanging="2"/>
              <w:jc w:val="center"/>
              <w:rPr>
                <w:rFonts w:ascii="Arial" w:eastAsia="Arial" w:hAnsi="Arial" w:cs="Arial"/>
                <w:sz w:val="18"/>
                <w:szCs w:val="18"/>
              </w:rPr>
            </w:pPr>
            <w:r>
              <w:rPr>
                <w:rFonts w:ascii="Arial" w:eastAsia="Arial" w:hAnsi="Arial" w:cs="Arial"/>
                <w:b/>
                <w:sz w:val="18"/>
                <w:szCs w:val="18"/>
              </w:rPr>
              <w:t>Departmental Group</w:t>
            </w:r>
          </w:p>
        </w:tc>
      </w:tr>
      <w:tr w:rsidR="00736A3A" w14:paraId="33A2E802" w14:textId="77777777">
        <w:tc>
          <w:tcPr>
            <w:tcW w:w="318" w:type="dxa"/>
          </w:tcPr>
          <w:p w14:paraId="33A2E7F7" w14:textId="77777777" w:rsidR="00736A3A" w:rsidRDefault="0096329F">
            <w:pPr>
              <w:ind w:left="0" w:hanging="2"/>
              <w:rPr>
                <w:rFonts w:ascii="Arial" w:eastAsia="Arial" w:hAnsi="Arial" w:cs="Arial"/>
                <w:sz w:val="18"/>
                <w:szCs w:val="18"/>
              </w:rPr>
            </w:pPr>
            <w:r>
              <w:rPr>
                <w:rFonts w:ascii="Arial" w:eastAsia="Arial" w:hAnsi="Arial" w:cs="Arial"/>
                <w:i/>
                <w:sz w:val="18"/>
                <w:szCs w:val="18"/>
              </w:rPr>
              <w:t>1</w:t>
            </w:r>
          </w:p>
        </w:tc>
        <w:tc>
          <w:tcPr>
            <w:tcW w:w="1350" w:type="dxa"/>
          </w:tcPr>
          <w:p w14:paraId="33A2E7F8" w14:textId="77777777" w:rsidR="00736A3A" w:rsidRDefault="0096329F">
            <w:pPr>
              <w:ind w:left="0" w:hanging="2"/>
              <w:rPr>
                <w:rFonts w:ascii="Arial" w:eastAsia="Arial" w:hAnsi="Arial" w:cs="Arial"/>
                <w:sz w:val="18"/>
                <w:szCs w:val="18"/>
              </w:rPr>
            </w:pPr>
            <w:r>
              <w:rPr>
                <w:rFonts w:ascii="Arial" w:eastAsia="Arial" w:hAnsi="Arial" w:cs="Arial"/>
                <w:b/>
                <w:sz w:val="18"/>
                <w:szCs w:val="18"/>
              </w:rPr>
              <w:t>Exit package cost band</w:t>
            </w:r>
          </w:p>
        </w:tc>
        <w:tc>
          <w:tcPr>
            <w:tcW w:w="1477" w:type="dxa"/>
          </w:tcPr>
          <w:p w14:paraId="33A2E7F9" w14:textId="77777777" w:rsidR="00736A3A" w:rsidRDefault="0096329F">
            <w:pPr>
              <w:ind w:left="0" w:hanging="2"/>
              <w:rPr>
                <w:rFonts w:ascii="Arial" w:eastAsia="Arial" w:hAnsi="Arial" w:cs="Arial"/>
                <w:sz w:val="18"/>
                <w:szCs w:val="18"/>
              </w:rPr>
            </w:pPr>
            <w:r>
              <w:rPr>
                <w:rFonts w:ascii="Arial" w:eastAsia="Arial" w:hAnsi="Arial" w:cs="Arial"/>
                <w:b/>
                <w:sz w:val="18"/>
                <w:szCs w:val="18"/>
              </w:rPr>
              <w:t>Number of compulsory redundancies</w:t>
            </w:r>
          </w:p>
        </w:tc>
        <w:tc>
          <w:tcPr>
            <w:tcW w:w="1369" w:type="dxa"/>
          </w:tcPr>
          <w:p w14:paraId="33A2E7FA" w14:textId="77777777" w:rsidR="00736A3A" w:rsidRDefault="0096329F">
            <w:pPr>
              <w:ind w:left="0" w:hanging="2"/>
              <w:rPr>
                <w:rFonts w:ascii="Arial" w:eastAsia="Arial" w:hAnsi="Arial" w:cs="Arial"/>
                <w:sz w:val="18"/>
                <w:szCs w:val="18"/>
              </w:rPr>
            </w:pPr>
            <w:r>
              <w:rPr>
                <w:rFonts w:ascii="Arial" w:eastAsia="Arial" w:hAnsi="Arial" w:cs="Arial"/>
                <w:b/>
                <w:sz w:val="18"/>
                <w:szCs w:val="18"/>
              </w:rPr>
              <w:t>Number of other departures agreed</w:t>
            </w:r>
          </w:p>
        </w:tc>
        <w:tc>
          <w:tcPr>
            <w:tcW w:w="1349" w:type="dxa"/>
          </w:tcPr>
          <w:p w14:paraId="33A2E7FB" w14:textId="77777777" w:rsidR="00736A3A" w:rsidRDefault="0096329F">
            <w:pPr>
              <w:ind w:left="0" w:hanging="2"/>
              <w:rPr>
                <w:rFonts w:ascii="Arial" w:eastAsia="Arial" w:hAnsi="Arial" w:cs="Arial"/>
                <w:sz w:val="18"/>
                <w:szCs w:val="18"/>
              </w:rPr>
            </w:pPr>
            <w:r>
              <w:rPr>
                <w:rFonts w:ascii="Arial" w:eastAsia="Arial" w:hAnsi="Arial" w:cs="Arial"/>
                <w:b/>
                <w:sz w:val="18"/>
                <w:szCs w:val="18"/>
              </w:rPr>
              <w:t>Total number of exit packages by cost band</w:t>
            </w:r>
          </w:p>
        </w:tc>
        <w:tc>
          <w:tcPr>
            <w:tcW w:w="1602" w:type="dxa"/>
          </w:tcPr>
          <w:p w14:paraId="33A2E7FC" w14:textId="77777777" w:rsidR="00736A3A" w:rsidRDefault="0096329F">
            <w:pPr>
              <w:ind w:left="0" w:hanging="2"/>
              <w:rPr>
                <w:rFonts w:ascii="Arial" w:eastAsia="Arial" w:hAnsi="Arial" w:cs="Arial"/>
                <w:sz w:val="18"/>
                <w:szCs w:val="18"/>
              </w:rPr>
            </w:pPr>
            <w:r>
              <w:rPr>
                <w:rFonts w:ascii="Arial" w:eastAsia="Arial" w:hAnsi="Arial" w:cs="Arial"/>
                <w:b/>
                <w:sz w:val="18"/>
                <w:szCs w:val="18"/>
              </w:rPr>
              <w:t>Number of compulsory redundancies</w:t>
            </w:r>
          </w:p>
        </w:tc>
        <w:tc>
          <w:tcPr>
            <w:tcW w:w="1369" w:type="dxa"/>
          </w:tcPr>
          <w:p w14:paraId="33A2E7FD" w14:textId="77777777" w:rsidR="00736A3A" w:rsidRDefault="0096329F">
            <w:pPr>
              <w:ind w:left="0" w:hanging="2"/>
              <w:rPr>
                <w:rFonts w:ascii="Arial" w:eastAsia="Arial" w:hAnsi="Arial" w:cs="Arial"/>
                <w:sz w:val="18"/>
                <w:szCs w:val="18"/>
              </w:rPr>
            </w:pPr>
            <w:r>
              <w:rPr>
                <w:rFonts w:ascii="Arial" w:eastAsia="Arial" w:hAnsi="Arial" w:cs="Arial"/>
                <w:b/>
                <w:sz w:val="18"/>
                <w:szCs w:val="18"/>
              </w:rPr>
              <w:t>Number of other departures agreed</w:t>
            </w:r>
          </w:p>
        </w:tc>
        <w:tc>
          <w:tcPr>
            <w:tcW w:w="1349" w:type="dxa"/>
          </w:tcPr>
          <w:p w14:paraId="33A2E7FE" w14:textId="77777777" w:rsidR="00736A3A" w:rsidRDefault="0096329F">
            <w:pPr>
              <w:ind w:left="0" w:hanging="2"/>
              <w:rPr>
                <w:rFonts w:ascii="Arial" w:eastAsia="Arial" w:hAnsi="Arial" w:cs="Arial"/>
                <w:sz w:val="18"/>
                <w:szCs w:val="18"/>
              </w:rPr>
            </w:pPr>
            <w:r>
              <w:rPr>
                <w:rFonts w:ascii="Arial" w:eastAsia="Arial" w:hAnsi="Arial" w:cs="Arial"/>
                <w:b/>
                <w:sz w:val="18"/>
                <w:szCs w:val="18"/>
              </w:rPr>
              <w:t>Total number of exit packages by cost band</w:t>
            </w:r>
          </w:p>
        </w:tc>
        <w:tc>
          <w:tcPr>
            <w:tcW w:w="1602" w:type="dxa"/>
          </w:tcPr>
          <w:p w14:paraId="33A2E7FF" w14:textId="77777777" w:rsidR="00736A3A" w:rsidRDefault="0096329F">
            <w:pPr>
              <w:ind w:left="0" w:hanging="2"/>
              <w:rPr>
                <w:rFonts w:ascii="Arial" w:eastAsia="Arial" w:hAnsi="Arial" w:cs="Arial"/>
                <w:sz w:val="18"/>
                <w:szCs w:val="18"/>
              </w:rPr>
            </w:pPr>
            <w:r>
              <w:rPr>
                <w:rFonts w:ascii="Arial" w:eastAsia="Arial" w:hAnsi="Arial" w:cs="Arial"/>
                <w:b/>
                <w:sz w:val="18"/>
                <w:szCs w:val="18"/>
              </w:rPr>
              <w:t>Number of compulsory redundancies</w:t>
            </w:r>
          </w:p>
        </w:tc>
        <w:tc>
          <w:tcPr>
            <w:tcW w:w="1369" w:type="dxa"/>
          </w:tcPr>
          <w:p w14:paraId="33A2E800" w14:textId="77777777" w:rsidR="00736A3A" w:rsidRDefault="0096329F">
            <w:pPr>
              <w:ind w:left="0" w:hanging="2"/>
              <w:rPr>
                <w:rFonts w:ascii="Arial" w:eastAsia="Arial" w:hAnsi="Arial" w:cs="Arial"/>
                <w:sz w:val="18"/>
                <w:szCs w:val="18"/>
              </w:rPr>
            </w:pPr>
            <w:r>
              <w:rPr>
                <w:rFonts w:ascii="Arial" w:eastAsia="Arial" w:hAnsi="Arial" w:cs="Arial"/>
                <w:b/>
                <w:sz w:val="18"/>
                <w:szCs w:val="18"/>
              </w:rPr>
              <w:t>Number of other departures agreed</w:t>
            </w:r>
          </w:p>
        </w:tc>
        <w:tc>
          <w:tcPr>
            <w:tcW w:w="1349" w:type="dxa"/>
          </w:tcPr>
          <w:p w14:paraId="33A2E801" w14:textId="77777777" w:rsidR="00736A3A" w:rsidRDefault="0096329F">
            <w:pPr>
              <w:ind w:left="0" w:hanging="2"/>
              <w:rPr>
                <w:rFonts w:ascii="Arial" w:eastAsia="Arial" w:hAnsi="Arial" w:cs="Arial"/>
                <w:sz w:val="18"/>
                <w:szCs w:val="18"/>
              </w:rPr>
            </w:pPr>
            <w:r>
              <w:rPr>
                <w:rFonts w:ascii="Arial" w:eastAsia="Arial" w:hAnsi="Arial" w:cs="Arial"/>
                <w:b/>
                <w:sz w:val="18"/>
                <w:szCs w:val="18"/>
              </w:rPr>
              <w:t>Total number of exit packages by cost band</w:t>
            </w:r>
          </w:p>
        </w:tc>
      </w:tr>
      <w:tr w:rsidR="00736A3A" w14:paraId="33A2E80E" w14:textId="77777777">
        <w:tc>
          <w:tcPr>
            <w:tcW w:w="318" w:type="dxa"/>
          </w:tcPr>
          <w:p w14:paraId="33A2E803" w14:textId="77777777" w:rsidR="00736A3A" w:rsidRDefault="0096329F">
            <w:pPr>
              <w:ind w:left="0" w:hanging="2"/>
              <w:rPr>
                <w:rFonts w:ascii="Arial" w:eastAsia="Arial" w:hAnsi="Arial" w:cs="Arial"/>
                <w:sz w:val="18"/>
                <w:szCs w:val="18"/>
              </w:rPr>
            </w:pPr>
            <w:r>
              <w:rPr>
                <w:rFonts w:ascii="Arial" w:eastAsia="Arial" w:hAnsi="Arial" w:cs="Arial"/>
                <w:i/>
                <w:sz w:val="18"/>
                <w:szCs w:val="18"/>
              </w:rPr>
              <w:t>2</w:t>
            </w:r>
          </w:p>
        </w:tc>
        <w:tc>
          <w:tcPr>
            <w:tcW w:w="1350" w:type="dxa"/>
          </w:tcPr>
          <w:p w14:paraId="33A2E804" w14:textId="77777777" w:rsidR="00736A3A" w:rsidRDefault="0096329F">
            <w:pPr>
              <w:ind w:left="0" w:hanging="2"/>
              <w:rPr>
                <w:rFonts w:ascii="Arial" w:eastAsia="Arial" w:hAnsi="Arial" w:cs="Arial"/>
                <w:sz w:val="18"/>
                <w:szCs w:val="18"/>
              </w:rPr>
            </w:pPr>
            <w:r>
              <w:rPr>
                <w:rFonts w:ascii="Arial" w:eastAsia="Arial" w:hAnsi="Arial" w:cs="Arial"/>
                <w:b/>
                <w:sz w:val="18"/>
                <w:szCs w:val="18"/>
              </w:rPr>
              <w:t>&lt;£10,000</w:t>
            </w:r>
          </w:p>
        </w:tc>
        <w:tc>
          <w:tcPr>
            <w:tcW w:w="1477" w:type="dxa"/>
          </w:tcPr>
          <w:p w14:paraId="33A2E805" w14:textId="77777777" w:rsidR="00736A3A" w:rsidRDefault="00736A3A">
            <w:pPr>
              <w:ind w:left="0" w:hanging="2"/>
              <w:rPr>
                <w:rFonts w:ascii="Arial" w:eastAsia="Arial" w:hAnsi="Arial" w:cs="Arial"/>
                <w:sz w:val="18"/>
                <w:szCs w:val="18"/>
              </w:rPr>
            </w:pPr>
          </w:p>
        </w:tc>
        <w:tc>
          <w:tcPr>
            <w:tcW w:w="1369" w:type="dxa"/>
          </w:tcPr>
          <w:p w14:paraId="33A2E806" w14:textId="77777777" w:rsidR="00736A3A" w:rsidRDefault="00736A3A">
            <w:pPr>
              <w:ind w:left="0" w:hanging="2"/>
              <w:rPr>
                <w:rFonts w:ascii="Arial" w:eastAsia="Arial" w:hAnsi="Arial" w:cs="Arial"/>
                <w:sz w:val="18"/>
                <w:szCs w:val="18"/>
              </w:rPr>
            </w:pPr>
          </w:p>
        </w:tc>
        <w:tc>
          <w:tcPr>
            <w:tcW w:w="1349" w:type="dxa"/>
          </w:tcPr>
          <w:p w14:paraId="33A2E807" w14:textId="77777777" w:rsidR="00736A3A" w:rsidRDefault="00736A3A">
            <w:pPr>
              <w:ind w:left="0" w:hanging="2"/>
              <w:rPr>
                <w:rFonts w:ascii="Arial" w:eastAsia="Arial" w:hAnsi="Arial" w:cs="Arial"/>
                <w:sz w:val="18"/>
                <w:szCs w:val="18"/>
              </w:rPr>
            </w:pPr>
          </w:p>
        </w:tc>
        <w:tc>
          <w:tcPr>
            <w:tcW w:w="1602" w:type="dxa"/>
          </w:tcPr>
          <w:p w14:paraId="33A2E808" w14:textId="77777777" w:rsidR="00736A3A" w:rsidRDefault="00736A3A">
            <w:pPr>
              <w:ind w:left="0" w:hanging="2"/>
              <w:rPr>
                <w:rFonts w:ascii="Arial" w:eastAsia="Arial" w:hAnsi="Arial" w:cs="Arial"/>
                <w:sz w:val="18"/>
                <w:szCs w:val="18"/>
              </w:rPr>
            </w:pPr>
          </w:p>
        </w:tc>
        <w:tc>
          <w:tcPr>
            <w:tcW w:w="1369" w:type="dxa"/>
          </w:tcPr>
          <w:p w14:paraId="33A2E809" w14:textId="77777777" w:rsidR="00736A3A" w:rsidRDefault="00736A3A">
            <w:pPr>
              <w:ind w:left="0" w:hanging="2"/>
              <w:rPr>
                <w:rFonts w:ascii="Arial" w:eastAsia="Arial" w:hAnsi="Arial" w:cs="Arial"/>
                <w:sz w:val="18"/>
                <w:szCs w:val="18"/>
              </w:rPr>
            </w:pPr>
          </w:p>
        </w:tc>
        <w:tc>
          <w:tcPr>
            <w:tcW w:w="1349" w:type="dxa"/>
          </w:tcPr>
          <w:p w14:paraId="33A2E80A" w14:textId="77777777" w:rsidR="00736A3A" w:rsidRDefault="00736A3A">
            <w:pPr>
              <w:ind w:left="0" w:hanging="2"/>
              <w:rPr>
                <w:rFonts w:ascii="Arial" w:eastAsia="Arial" w:hAnsi="Arial" w:cs="Arial"/>
                <w:sz w:val="18"/>
                <w:szCs w:val="18"/>
              </w:rPr>
            </w:pPr>
          </w:p>
        </w:tc>
        <w:tc>
          <w:tcPr>
            <w:tcW w:w="1602" w:type="dxa"/>
          </w:tcPr>
          <w:p w14:paraId="33A2E80B" w14:textId="77777777" w:rsidR="00736A3A" w:rsidRDefault="00736A3A">
            <w:pPr>
              <w:ind w:left="0" w:hanging="2"/>
              <w:rPr>
                <w:rFonts w:ascii="Arial" w:eastAsia="Arial" w:hAnsi="Arial" w:cs="Arial"/>
                <w:sz w:val="18"/>
                <w:szCs w:val="18"/>
              </w:rPr>
            </w:pPr>
          </w:p>
        </w:tc>
        <w:tc>
          <w:tcPr>
            <w:tcW w:w="1369" w:type="dxa"/>
          </w:tcPr>
          <w:p w14:paraId="33A2E80C" w14:textId="77777777" w:rsidR="00736A3A" w:rsidRDefault="00736A3A">
            <w:pPr>
              <w:ind w:left="0" w:hanging="2"/>
              <w:rPr>
                <w:rFonts w:ascii="Arial" w:eastAsia="Arial" w:hAnsi="Arial" w:cs="Arial"/>
                <w:sz w:val="18"/>
                <w:szCs w:val="18"/>
              </w:rPr>
            </w:pPr>
          </w:p>
        </w:tc>
        <w:tc>
          <w:tcPr>
            <w:tcW w:w="1349" w:type="dxa"/>
          </w:tcPr>
          <w:p w14:paraId="33A2E80D" w14:textId="77777777" w:rsidR="00736A3A" w:rsidRDefault="00736A3A">
            <w:pPr>
              <w:ind w:left="0" w:hanging="2"/>
              <w:rPr>
                <w:rFonts w:ascii="Arial" w:eastAsia="Arial" w:hAnsi="Arial" w:cs="Arial"/>
                <w:sz w:val="18"/>
                <w:szCs w:val="18"/>
              </w:rPr>
            </w:pPr>
          </w:p>
        </w:tc>
      </w:tr>
      <w:tr w:rsidR="00736A3A" w14:paraId="33A2E81A" w14:textId="77777777">
        <w:tc>
          <w:tcPr>
            <w:tcW w:w="318" w:type="dxa"/>
          </w:tcPr>
          <w:p w14:paraId="33A2E80F" w14:textId="77777777" w:rsidR="00736A3A" w:rsidRDefault="0096329F">
            <w:pPr>
              <w:ind w:left="0" w:hanging="2"/>
              <w:rPr>
                <w:rFonts w:ascii="Arial" w:eastAsia="Arial" w:hAnsi="Arial" w:cs="Arial"/>
                <w:sz w:val="18"/>
                <w:szCs w:val="18"/>
              </w:rPr>
            </w:pPr>
            <w:r>
              <w:rPr>
                <w:rFonts w:ascii="Arial" w:eastAsia="Arial" w:hAnsi="Arial" w:cs="Arial"/>
                <w:i/>
                <w:sz w:val="18"/>
                <w:szCs w:val="18"/>
              </w:rPr>
              <w:t>3</w:t>
            </w:r>
          </w:p>
        </w:tc>
        <w:tc>
          <w:tcPr>
            <w:tcW w:w="1350" w:type="dxa"/>
          </w:tcPr>
          <w:p w14:paraId="33A2E810" w14:textId="77777777" w:rsidR="00736A3A" w:rsidRDefault="0096329F">
            <w:pPr>
              <w:ind w:left="0" w:hanging="2"/>
              <w:rPr>
                <w:rFonts w:ascii="Arial" w:eastAsia="Arial" w:hAnsi="Arial" w:cs="Arial"/>
                <w:sz w:val="18"/>
                <w:szCs w:val="18"/>
              </w:rPr>
            </w:pPr>
            <w:r>
              <w:rPr>
                <w:rFonts w:ascii="Arial" w:eastAsia="Arial" w:hAnsi="Arial" w:cs="Arial"/>
                <w:b/>
                <w:sz w:val="18"/>
                <w:szCs w:val="18"/>
              </w:rPr>
              <w:t>£10,000 - £25,000</w:t>
            </w:r>
          </w:p>
        </w:tc>
        <w:tc>
          <w:tcPr>
            <w:tcW w:w="1477" w:type="dxa"/>
          </w:tcPr>
          <w:p w14:paraId="33A2E811" w14:textId="77777777" w:rsidR="00736A3A" w:rsidRDefault="00736A3A">
            <w:pPr>
              <w:ind w:left="0" w:hanging="2"/>
              <w:rPr>
                <w:rFonts w:ascii="Arial" w:eastAsia="Arial" w:hAnsi="Arial" w:cs="Arial"/>
                <w:sz w:val="18"/>
                <w:szCs w:val="18"/>
              </w:rPr>
            </w:pPr>
          </w:p>
        </w:tc>
        <w:tc>
          <w:tcPr>
            <w:tcW w:w="1369" w:type="dxa"/>
          </w:tcPr>
          <w:p w14:paraId="33A2E812" w14:textId="77777777" w:rsidR="00736A3A" w:rsidRDefault="00736A3A">
            <w:pPr>
              <w:ind w:left="0" w:hanging="2"/>
              <w:rPr>
                <w:rFonts w:ascii="Arial" w:eastAsia="Arial" w:hAnsi="Arial" w:cs="Arial"/>
                <w:sz w:val="18"/>
                <w:szCs w:val="18"/>
              </w:rPr>
            </w:pPr>
          </w:p>
        </w:tc>
        <w:tc>
          <w:tcPr>
            <w:tcW w:w="1349" w:type="dxa"/>
          </w:tcPr>
          <w:p w14:paraId="33A2E813" w14:textId="77777777" w:rsidR="00736A3A" w:rsidRDefault="00736A3A">
            <w:pPr>
              <w:ind w:left="0" w:hanging="2"/>
              <w:rPr>
                <w:rFonts w:ascii="Arial" w:eastAsia="Arial" w:hAnsi="Arial" w:cs="Arial"/>
                <w:sz w:val="18"/>
                <w:szCs w:val="18"/>
              </w:rPr>
            </w:pPr>
          </w:p>
        </w:tc>
        <w:tc>
          <w:tcPr>
            <w:tcW w:w="1602" w:type="dxa"/>
          </w:tcPr>
          <w:p w14:paraId="33A2E814" w14:textId="77777777" w:rsidR="00736A3A" w:rsidRDefault="00736A3A">
            <w:pPr>
              <w:ind w:left="0" w:hanging="2"/>
              <w:rPr>
                <w:rFonts w:ascii="Arial" w:eastAsia="Arial" w:hAnsi="Arial" w:cs="Arial"/>
                <w:sz w:val="18"/>
                <w:szCs w:val="18"/>
              </w:rPr>
            </w:pPr>
          </w:p>
        </w:tc>
        <w:tc>
          <w:tcPr>
            <w:tcW w:w="1369" w:type="dxa"/>
          </w:tcPr>
          <w:p w14:paraId="33A2E815" w14:textId="77777777" w:rsidR="00736A3A" w:rsidRDefault="00736A3A">
            <w:pPr>
              <w:ind w:left="0" w:hanging="2"/>
              <w:rPr>
                <w:rFonts w:ascii="Arial" w:eastAsia="Arial" w:hAnsi="Arial" w:cs="Arial"/>
                <w:sz w:val="18"/>
                <w:szCs w:val="18"/>
              </w:rPr>
            </w:pPr>
          </w:p>
        </w:tc>
        <w:tc>
          <w:tcPr>
            <w:tcW w:w="1349" w:type="dxa"/>
          </w:tcPr>
          <w:p w14:paraId="33A2E816" w14:textId="77777777" w:rsidR="00736A3A" w:rsidRDefault="00736A3A">
            <w:pPr>
              <w:ind w:left="0" w:hanging="2"/>
              <w:rPr>
                <w:rFonts w:ascii="Arial" w:eastAsia="Arial" w:hAnsi="Arial" w:cs="Arial"/>
                <w:sz w:val="18"/>
                <w:szCs w:val="18"/>
              </w:rPr>
            </w:pPr>
          </w:p>
        </w:tc>
        <w:tc>
          <w:tcPr>
            <w:tcW w:w="1602" w:type="dxa"/>
          </w:tcPr>
          <w:p w14:paraId="33A2E817" w14:textId="77777777" w:rsidR="00736A3A" w:rsidRDefault="00736A3A">
            <w:pPr>
              <w:ind w:left="0" w:hanging="2"/>
              <w:rPr>
                <w:rFonts w:ascii="Arial" w:eastAsia="Arial" w:hAnsi="Arial" w:cs="Arial"/>
                <w:sz w:val="18"/>
                <w:szCs w:val="18"/>
              </w:rPr>
            </w:pPr>
          </w:p>
        </w:tc>
        <w:tc>
          <w:tcPr>
            <w:tcW w:w="1369" w:type="dxa"/>
          </w:tcPr>
          <w:p w14:paraId="33A2E818" w14:textId="77777777" w:rsidR="00736A3A" w:rsidRDefault="00736A3A">
            <w:pPr>
              <w:ind w:left="0" w:hanging="2"/>
              <w:rPr>
                <w:rFonts w:ascii="Arial" w:eastAsia="Arial" w:hAnsi="Arial" w:cs="Arial"/>
                <w:sz w:val="18"/>
                <w:szCs w:val="18"/>
              </w:rPr>
            </w:pPr>
          </w:p>
        </w:tc>
        <w:tc>
          <w:tcPr>
            <w:tcW w:w="1349" w:type="dxa"/>
          </w:tcPr>
          <w:p w14:paraId="33A2E819" w14:textId="77777777" w:rsidR="00736A3A" w:rsidRDefault="00736A3A">
            <w:pPr>
              <w:ind w:left="0" w:hanging="2"/>
              <w:rPr>
                <w:rFonts w:ascii="Arial" w:eastAsia="Arial" w:hAnsi="Arial" w:cs="Arial"/>
                <w:sz w:val="18"/>
                <w:szCs w:val="18"/>
              </w:rPr>
            </w:pPr>
          </w:p>
        </w:tc>
      </w:tr>
      <w:tr w:rsidR="00736A3A" w14:paraId="33A2E826" w14:textId="77777777">
        <w:tc>
          <w:tcPr>
            <w:tcW w:w="318" w:type="dxa"/>
          </w:tcPr>
          <w:p w14:paraId="33A2E81B" w14:textId="77777777" w:rsidR="00736A3A" w:rsidRDefault="0096329F">
            <w:pPr>
              <w:ind w:left="0" w:hanging="2"/>
              <w:rPr>
                <w:rFonts w:ascii="Arial" w:eastAsia="Arial" w:hAnsi="Arial" w:cs="Arial"/>
                <w:sz w:val="18"/>
                <w:szCs w:val="18"/>
              </w:rPr>
            </w:pPr>
            <w:r>
              <w:rPr>
                <w:rFonts w:ascii="Arial" w:eastAsia="Arial" w:hAnsi="Arial" w:cs="Arial"/>
                <w:i/>
                <w:sz w:val="18"/>
                <w:szCs w:val="18"/>
              </w:rPr>
              <w:t>4</w:t>
            </w:r>
          </w:p>
        </w:tc>
        <w:tc>
          <w:tcPr>
            <w:tcW w:w="1350" w:type="dxa"/>
          </w:tcPr>
          <w:p w14:paraId="33A2E81C" w14:textId="77777777" w:rsidR="00736A3A" w:rsidRDefault="0096329F">
            <w:pPr>
              <w:ind w:left="0" w:hanging="2"/>
              <w:rPr>
                <w:rFonts w:ascii="Arial" w:eastAsia="Arial" w:hAnsi="Arial" w:cs="Arial"/>
                <w:sz w:val="18"/>
                <w:szCs w:val="18"/>
              </w:rPr>
            </w:pPr>
            <w:r>
              <w:rPr>
                <w:rFonts w:ascii="Arial" w:eastAsia="Arial" w:hAnsi="Arial" w:cs="Arial"/>
                <w:b/>
                <w:sz w:val="18"/>
                <w:szCs w:val="18"/>
              </w:rPr>
              <w:t>£25,000 - £50,000</w:t>
            </w:r>
          </w:p>
        </w:tc>
        <w:tc>
          <w:tcPr>
            <w:tcW w:w="1477" w:type="dxa"/>
          </w:tcPr>
          <w:p w14:paraId="33A2E81D" w14:textId="77777777" w:rsidR="00736A3A" w:rsidRDefault="00736A3A">
            <w:pPr>
              <w:ind w:left="0" w:hanging="2"/>
              <w:rPr>
                <w:rFonts w:ascii="Arial" w:eastAsia="Arial" w:hAnsi="Arial" w:cs="Arial"/>
                <w:sz w:val="18"/>
                <w:szCs w:val="18"/>
              </w:rPr>
            </w:pPr>
          </w:p>
        </w:tc>
        <w:tc>
          <w:tcPr>
            <w:tcW w:w="1369" w:type="dxa"/>
          </w:tcPr>
          <w:p w14:paraId="33A2E81E" w14:textId="77777777" w:rsidR="00736A3A" w:rsidRDefault="00736A3A">
            <w:pPr>
              <w:ind w:left="0" w:hanging="2"/>
              <w:rPr>
                <w:rFonts w:ascii="Arial" w:eastAsia="Arial" w:hAnsi="Arial" w:cs="Arial"/>
                <w:sz w:val="18"/>
                <w:szCs w:val="18"/>
              </w:rPr>
            </w:pPr>
          </w:p>
        </w:tc>
        <w:tc>
          <w:tcPr>
            <w:tcW w:w="1349" w:type="dxa"/>
          </w:tcPr>
          <w:p w14:paraId="33A2E81F" w14:textId="77777777" w:rsidR="00736A3A" w:rsidRDefault="00736A3A">
            <w:pPr>
              <w:ind w:left="0" w:hanging="2"/>
              <w:rPr>
                <w:rFonts w:ascii="Arial" w:eastAsia="Arial" w:hAnsi="Arial" w:cs="Arial"/>
                <w:sz w:val="18"/>
                <w:szCs w:val="18"/>
              </w:rPr>
            </w:pPr>
          </w:p>
        </w:tc>
        <w:tc>
          <w:tcPr>
            <w:tcW w:w="1602" w:type="dxa"/>
          </w:tcPr>
          <w:p w14:paraId="33A2E820" w14:textId="77777777" w:rsidR="00736A3A" w:rsidRDefault="00736A3A">
            <w:pPr>
              <w:ind w:left="0" w:hanging="2"/>
              <w:rPr>
                <w:rFonts w:ascii="Arial" w:eastAsia="Arial" w:hAnsi="Arial" w:cs="Arial"/>
                <w:sz w:val="18"/>
                <w:szCs w:val="18"/>
              </w:rPr>
            </w:pPr>
          </w:p>
        </w:tc>
        <w:tc>
          <w:tcPr>
            <w:tcW w:w="1369" w:type="dxa"/>
          </w:tcPr>
          <w:p w14:paraId="33A2E821" w14:textId="77777777" w:rsidR="00736A3A" w:rsidRDefault="00736A3A">
            <w:pPr>
              <w:ind w:left="0" w:hanging="2"/>
              <w:rPr>
                <w:rFonts w:ascii="Arial" w:eastAsia="Arial" w:hAnsi="Arial" w:cs="Arial"/>
                <w:sz w:val="18"/>
                <w:szCs w:val="18"/>
              </w:rPr>
            </w:pPr>
          </w:p>
        </w:tc>
        <w:tc>
          <w:tcPr>
            <w:tcW w:w="1349" w:type="dxa"/>
          </w:tcPr>
          <w:p w14:paraId="33A2E822" w14:textId="77777777" w:rsidR="00736A3A" w:rsidRDefault="00736A3A">
            <w:pPr>
              <w:ind w:left="0" w:hanging="2"/>
              <w:rPr>
                <w:rFonts w:ascii="Arial" w:eastAsia="Arial" w:hAnsi="Arial" w:cs="Arial"/>
                <w:sz w:val="18"/>
                <w:szCs w:val="18"/>
              </w:rPr>
            </w:pPr>
          </w:p>
        </w:tc>
        <w:tc>
          <w:tcPr>
            <w:tcW w:w="1602" w:type="dxa"/>
          </w:tcPr>
          <w:p w14:paraId="33A2E823" w14:textId="77777777" w:rsidR="00736A3A" w:rsidRDefault="00736A3A">
            <w:pPr>
              <w:ind w:left="0" w:hanging="2"/>
              <w:rPr>
                <w:rFonts w:ascii="Arial" w:eastAsia="Arial" w:hAnsi="Arial" w:cs="Arial"/>
                <w:sz w:val="18"/>
                <w:szCs w:val="18"/>
              </w:rPr>
            </w:pPr>
          </w:p>
        </w:tc>
        <w:tc>
          <w:tcPr>
            <w:tcW w:w="1369" w:type="dxa"/>
          </w:tcPr>
          <w:p w14:paraId="33A2E824" w14:textId="77777777" w:rsidR="00736A3A" w:rsidRDefault="00736A3A">
            <w:pPr>
              <w:ind w:left="0" w:hanging="2"/>
              <w:rPr>
                <w:rFonts w:ascii="Arial" w:eastAsia="Arial" w:hAnsi="Arial" w:cs="Arial"/>
                <w:sz w:val="18"/>
                <w:szCs w:val="18"/>
              </w:rPr>
            </w:pPr>
          </w:p>
        </w:tc>
        <w:tc>
          <w:tcPr>
            <w:tcW w:w="1349" w:type="dxa"/>
          </w:tcPr>
          <w:p w14:paraId="33A2E825" w14:textId="77777777" w:rsidR="00736A3A" w:rsidRDefault="00736A3A">
            <w:pPr>
              <w:ind w:left="0" w:hanging="2"/>
              <w:rPr>
                <w:rFonts w:ascii="Arial" w:eastAsia="Arial" w:hAnsi="Arial" w:cs="Arial"/>
                <w:sz w:val="18"/>
                <w:szCs w:val="18"/>
              </w:rPr>
            </w:pPr>
          </w:p>
        </w:tc>
      </w:tr>
      <w:tr w:rsidR="00736A3A" w14:paraId="33A2E832" w14:textId="77777777">
        <w:tc>
          <w:tcPr>
            <w:tcW w:w="318" w:type="dxa"/>
          </w:tcPr>
          <w:p w14:paraId="33A2E827" w14:textId="77777777" w:rsidR="00736A3A" w:rsidRDefault="0096329F">
            <w:pPr>
              <w:ind w:left="0" w:hanging="2"/>
              <w:rPr>
                <w:rFonts w:ascii="Arial" w:eastAsia="Arial" w:hAnsi="Arial" w:cs="Arial"/>
                <w:sz w:val="18"/>
                <w:szCs w:val="18"/>
              </w:rPr>
            </w:pPr>
            <w:r>
              <w:rPr>
                <w:rFonts w:ascii="Arial" w:eastAsia="Arial" w:hAnsi="Arial" w:cs="Arial"/>
                <w:i/>
                <w:sz w:val="18"/>
                <w:szCs w:val="18"/>
              </w:rPr>
              <w:t>5</w:t>
            </w:r>
          </w:p>
        </w:tc>
        <w:tc>
          <w:tcPr>
            <w:tcW w:w="1350" w:type="dxa"/>
          </w:tcPr>
          <w:p w14:paraId="33A2E828" w14:textId="77777777" w:rsidR="00736A3A" w:rsidRDefault="0096329F">
            <w:pPr>
              <w:ind w:left="0" w:hanging="2"/>
              <w:rPr>
                <w:rFonts w:ascii="Arial" w:eastAsia="Arial" w:hAnsi="Arial" w:cs="Arial"/>
                <w:sz w:val="18"/>
                <w:szCs w:val="18"/>
              </w:rPr>
            </w:pPr>
            <w:r>
              <w:rPr>
                <w:rFonts w:ascii="Arial" w:eastAsia="Arial" w:hAnsi="Arial" w:cs="Arial"/>
                <w:b/>
                <w:sz w:val="18"/>
                <w:szCs w:val="18"/>
              </w:rPr>
              <w:t>£50,000 - £100,000</w:t>
            </w:r>
          </w:p>
        </w:tc>
        <w:tc>
          <w:tcPr>
            <w:tcW w:w="1477" w:type="dxa"/>
          </w:tcPr>
          <w:p w14:paraId="33A2E829" w14:textId="77777777" w:rsidR="00736A3A" w:rsidRDefault="00736A3A">
            <w:pPr>
              <w:ind w:left="0" w:hanging="2"/>
              <w:rPr>
                <w:rFonts w:ascii="Arial" w:eastAsia="Arial" w:hAnsi="Arial" w:cs="Arial"/>
                <w:sz w:val="18"/>
                <w:szCs w:val="18"/>
              </w:rPr>
            </w:pPr>
          </w:p>
        </w:tc>
        <w:tc>
          <w:tcPr>
            <w:tcW w:w="1369" w:type="dxa"/>
          </w:tcPr>
          <w:p w14:paraId="33A2E82A" w14:textId="77777777" w:rsidR="00736A3A" w:rsidRDefault="00736A3A">
            <w:pPr>
              <w:ind w:left="0" w:hanging="2"/>
              <w:rPr>
                <w:rFonts w:ascii="Arial" w:eastAsia="Arial" w:hAnsi="Arial" w:cs="Arial"/>
                <w:sz w:val="18"/>
                <w:szCs w:val="18"/>
              </w:rPr>
            </w:pPr>
          </w:p>
        </w:tc>
        <w:tc>
          <w:tcPr>
            <w:tcW w:w="1349" w:type="dxa"/>
          </w:tcPr>
          <w:p w14:paraId="33A2E82B" w14:textId="77777777" w:rsidR="00736A3A" w:rsidRDefault="00736A3A">
            <w:pPr>
              <w:ind w:left="0" w:hanging="2"/>
              <w:rPr>
                <w:rFonts w:ascii="Arial" w:eastAsia="Arial" w:hAnsi="Arial" w:cs="Arial"/>
                <w:sz w:val="18"/>
                <w:szCs w:val="18"/>
              </w:rPr>
            </w:pPr>
          </w:p>
        </w:tc>
        <w:tc>
          <w:tcPr>
            <w:tcW w:w="1602" w:type="dxa"/>
          </w:tcPr>
          <w:p w14:paraId="33A2E82C" w14:textId="77777777" w:rsidR="00736A3A" w:rsidRDefault="00736A3A">
            <w:pPr>
              <w:ind w:left="0" w:hanging="2"/>
              <w:rPr>
                <w:rFonts w:ascii="Arial" w:eastAsia="Arial" w:hAnsi="Arial" w:cs="Arial"/>
                <w:sz w:val="18"/>
                <w:szCs w:val="18"/>
              </w:rPr>
            </w:pPr>
          </w:p>
        </w:tc>
        <w:tc>
          <w:tcPr>
            <w:tcW w:w="1369" w:type="dxa"/>
          </w:tcPr>
          <w:p w14:paraId="33A2E82D" w14:textId="77777777" w:rsidR="00736A3A" w:rsidRDefault="00736A3A">
            <w:pPr>
              <w:ind w:left="0" w:hanging="2"/>
              <w:rPr>
                <w:rFonts w:ascii="Arial" w:eastAsia="Arial" w:hAnsi="Arial" w:cs="Arial"/>
                <w:sz w:val="18"/>
                <w:szCs w:val="18"/>
              </w:rPr>
            </w:pPr>
          </w:p>
        </w:tc>
        <w:tc>
          <w:tcPr>
            <w:tcW w:w="1349" w:type="dxa"/>
          </w:tcPr>
          <w:p w14:paraId="33A2E82E" w14:textId="77777777" w:rsidR="00736A3A" w:rsidRDefault="00736A3A">
            <w:pPr>
              <w:ind w:left="0" w:hanging="2"/>
              <w:rPr>
                <w:rFonts w:ascii="Arial" w:eastAsia="Arial" w:hAnsi="Arial" w:cs="Arial"/>
                <w:sz w:val="18"/>
                <w:szCs w:val="18"/>
              </w:rPr>
            </w:pPr>
          </w:p>
        </w:tc>
        <w:tc>
          <w:tcPr>
            <w:tcW w:w="1602" w:type="dxa"/>
          </w:tcPr>
          <w:p w14:paraId="33A2E82F" w14:textId="77777777" w:rsidR="00736A3A" w:rsidRDefault="00736A3A">
            <w:pPr>
              <w:ind w:left="0" w:hanging="2"/>
              <w:rPr>
                <w:rFonts w:ascii="Arial" w:eastAsia="Arial" w:hAnsi="Arial" w:cs="Arial"/>
                <w:sz w:val="18"/>
                <w:szCs w:val="18"/>
              </w:rPr>
            </w:pPr>
          </w:p>
        </w:tc>
        <w:tc>
          <w:tcPr>
            <w:tcW w:w="1369" w:type="dxa"/>
          </w:tcPr>
          <w:p w14:paraId="33A2E830" w14:textId="77777777" w:rsidR="00736A3A" w:rsidRDefault="00736A3A">
            <w:pPr>
              <w:ind w:left="0" w:hanging="2"/>
              <w:rPr>
                <w:rFonts w:ascii="Arial" w:eastAsia="Arial" w:hAnsi="Arial" w:cs="Arial"/>
                <w:sz w:val="18"/>
                <w:szCs w:val="18"/>
              </w:rPr>
            </w:pPr>
          </w:p>
        </w:tc>
        <w:tc>
          <w:tcPr>
            <w:tcW w:w="1349" w:type="dxa"/>
          </w:tcPr>
          <w:p w14:paraId="33A2E831" w14:textId="77777777" w:rsidR="00736A3A" w:rsidRDefault="00736A3A">
            <w:pPr>
              <w:ind w:left="0" w:hanging="2"/>
              <w:rPr>
                <w:rFonts w:ascii="Arial" w:eastAsia="Arial" w:hAnsi="Arial" w:cs="Arial"/>
                <w:sz w:val="18"/>
                <w:szCs w:val="18"/>
              </w:rPr>
            </w:pPr>
          </w:p>
        </w:tc>
      </w:tr>
      <w:tr w:rsidR="00736A3A" w14:paraId="33A2E83E" w14:textId="77777777">
        <w:tc>
          <w:tcPr>
            <w:tcW w:w="318" w:type="dxa"/>
          </w:tcPr>
          <w:p w14:paraId="33A2E833" w14:textId="77777777" w:rsidR="00736A3A" w:rsidRDefault="0096329F">
            <w:pPr>
              <w:ind w:left="0" w:hanging="2"/>
              <w:rPr>
                <w:rFonts w:ascii="Arial" w:eastAsia="Arial" w:hAnsi="Arial" w:cs="Arial"/>
                <w:sz w:val="18"/>
                <w:szCs w:val="18"/>
              </w:rPr>
            </w:pPr>
            <w:r>
              <w:rPr>
                <w:rFonts w:ascii="Arial" w:eastAsia="Arial" w:hAnsi="Arial" w:cs="Arial"/>
                <w:i/>
                <w:sz w:val="18"/>
                <w:szCs w:val="18"/>
              </w:rPr>
              <w:t>6</w:t>
            </w:r>
          </w:p>
        </w:tc>
        <w:tc>
          <w:tcPr>
            <w:tcW w:w="1350" w:type="dxa"/>
          </w:tcPr>
          <w:p w14:paraId="33A2E834" w14:textId="77777777" w:rsidR="00736A3A" w:rsidRDefault="0096329F">
            <w:pPr>
              <w:ind w:left="0" w:hanging="2"/>
              <w:rPr>
                <w:rFonts w:ascii="Arial" w:eastAsia="Arial" w:hAnsi="Arial" w:cs="Arial"/>
                <w:sz w:val="18"/>
                <w:szCs w:val="18"/>
              </w:rPr>
            </w:pPr>
            <w:r>
              <w:rPr>
                <w:rFonts w:ascii="Arial" w:eastAsia="Arial" w:hAnsi="Arial" w:cs="Arial"/>
                <w:b/>
                <w:sz w:val="18"/>
                <w:szCs w:val="18"/>
              </w:rPr>
              <w:t>£100,000 - £150,000</w:t>
            </w:r>
          </w:p>
        </w:tc>
        <w:tc>
          <w:tcPr>
            <w:tcW w:w="1477" w:type="dxa"/>
          </w:tcPr>
          <w:p w14:paraId="33A2E835" w14:textId="77777777" w:rsidR="00736A3A" w:rsidRDefault="00736A3A">
            <w:pPr>
              <w:ind w:left="0" w:hanging="2"/>
              <w:rPr>
                <w:rFonts w:ascii="Arial" w:eastAsia="Arial" w:hAnsi="Arial" w:cs="Arial"/>
                <w:sz w:val="18"/>
                <w:szCs w:val="18"/>
              </w:rPr>
            </w:pPr>
          </w:p>
        </w:tc>
        <w:tc>
          <w:tcPr>
            <w:tcW w:w="1369" w:type="dxa"/>
          </w:tcPr>
          <w:p w14:paraId="33A2E836" w14:textId="77777777" w:rsidR="00736A3A" w:rsidRDefault="00736A3A">
            <w:pPr>
              <w:ind w:left="0" w:hanging="2"/>
              <w:rPr>
                <w:rFonts w:ascii="Arial" w:eastAsia="Arial" w:hAnsi="Arial" w:cs="Arial"/>
                <w:sz w:val="18"/>
                <w:szCs w:val="18"/>
              </w:rPr>
            </w:pPr>
          </w:p>
        </w:tc>
        <w:tc>
          <w:tcPr>
            <w:tcW w:w="1349" w:type="dxa"/>
          </w:tcPr>
          <w:p w14:paraId="33A2E837" w14:textId="77777777" w:rsidR="00736A3A" w:rsidRDefault="00736A3A">
            <w:pPr>
              <w:ind w:left="0" w:hanging="2"/>
              <w:rPr>
                <w:rFonts w:ascii="Arial" w:eastAsia="Arial" w:hAnsi="Arial" w:cs="Arial"/>
                <w:sz w:val="18"/>
                <w:szCs w:val="18"/>
              </w:rPr>
            </w:pPr>
          </w:p>
        </w:tc>
        <w:tc>
          <w:tcPr>
            <w:tcW w:w="1602" w:type="dxa"/>
          </w:tcPr>
          <w:p w14:paraId="33A2E838" w14:textId="77777777" w:rsidR="00736A3A" w:rsidRDefault="00736A3A">
            <w:pPr>
              <w:ind w:left="0" w:hanging="2"/>
              <w:rPr>
                <w:rFonts w:ascii="Arial" w:eastAsia="Arial" w:hAnsi="Arial" w:cs="Arial"/>
                <w:sz w:val="18"/>
                <w:szCs w:val="18"/>
              </w:rPr>
            </w:pPr>
          </w:p>
        </w:tc>
        <w:tc>
          <w:tcPr>
            <w:tcW w:w="1369" w:type="dxa"/>
          </w:tcPr>
          <w:p w14:paraId="33A2E839" w14:textId="77777777" w:rsidR="00736A3A" w:rsidRDefault="00736A3A">
            <w:pPr>
              <w:ind w:left="0" w:hanging="2"/>
              <w:rPr>
                <w:rFonts w:ascii="Arial" w:eastAsia="Arial" w:hAnsi="Arial" w:cs="Arial"/>
                <w:sz w:val="18"/>
                <w:szCs w:val="18"/>
              </w:rPr>
            </w:pPr>
          </w:p>
        </w:tc>
        <w:tc>
          <w:tcPr>
            <w:tcW w:w="1349" w:type="dxa"/>
          </w:tcPr>
          <w:p w14:paraId="33A2E83A" w14:textId="77777777" w:rsidR="00736A3A" w:rsidRDefault="00736A3A">
            <w:pPr>
              <w:ind w:left="0" w:hanging="2"/>
              <w:rPr>
                <w:rFonts w:ascii="Arial" w:eastAsia="Arial" w:hAnsi="Arial" w:cs="Arial"/>
                <w:sz w:val="18"/>
                <w:szCs w:val="18"/>
              </w:rPr>
            </w:pPr>
          </w:p>
        </w:tc>
        <w:tc>
          <w:tcPr>
            <w:tcW w:w="1602" w:type="dxa"/>
          </w:tcPr>
          <w:p w14:paraId="33A2E83B" w14:textId="77777777" w:rsidR="00736A3A" w:rsidRDefault="00736A3A">
            <w:pPr>
              <w:ind w:left="0" w:hanging="2"/>
              <w:rPr>
                <w:rFonts w:ascii="Arial" w:eastAsia="Arial" w:hAnsi="Arial" w:cs="Arial"/>
                <w:sz w:val="18"/>
                <w:szCs w:val="18"/>
              </w:rPr>
            </w:pPr>
          </w:p>
        </w:tc>
        <w:tc>
          <w:tcPr>
            <w:tcW w:w="1369" w:type="dxa"/>
          </w:tcPr>
          <w:p w14:paraId="33A2E83C" w14:textId="77777777" w:rsidR="00736A3A" w:rsidRDefault="00736A3A">
            <w:pPr>
              <w:ind w:left="0" w:hanging="2"/>
              <w:rPr>
                <w:rFonts w:ascii="Arial" w:eastAsia="Arial" w:hAnsi="Arial" w:cs="Arial"/>
                <w:sz w:val="18"/>
                <w:szCs w:val="18"/>
              </w:rPr>
            </w:pPr>
          </w:p>
        </w:tc>
        <w:tc>
          <w:tcPr>
            <w:tcW w:w="1349" w:type="dxa"/>
          </w:tcPr>
          <w:p w14:paraId="33A2E83D" w14:textId="77777777" w:rsidR="00736A3A" w:rsidRDefault="00736A3A">
            <w:pPr>
              <w:ind w:left="0" w:hanging="2"/>
              <w:rPr>
                <w:rFonts w:ascii="Arial" w:eastAsia="Arial" w:hAnsi="Arial" w:cs="Arial"/>
                <w:sz w:val="18"/>
                <w:szCs w:val="18"/>
              </w:rPr>
            </w:pPr>
          </w:p>
        </w:tc>
      </w:tr>
      <w:tr w:rsidR="00736A3A" w14:paraId="33A2E84A" w14:textId="77777777">
        <w:tc>
          <w:tcPr>
            <w:tcW w:w="318" w:type="dxa"/>
          </w:tcPr>
          <w:p w14:paraId="33A2E83F" w14:textId="77777777" w:rsidR="00736A3A" w:rsidRDefault="0096329F">
            <w:pPr>
              <w:ind w:left="0" w:hanging="2"/>
              <w:rPr>
                <w:rFonts w:ascii="Arial" w:eastAsia="Arial" w:hAnsi="Arial" w:cs="Arial"/>
                <w:sz w:val="18"/>
                <w:szCs w:val="18"/>
              </w:rPr>
            </w:pPr>
            <w:r>
              <w:rPr>
                <w:rFonts w:ascii="Arial" w:eastAsia="Arial" w:hAnsi="Arial" w:cs="Arial"/>
                <w:i/>
                <w:sz w:val="18"/>
                <w:szCs w:val="18"/>
              </w:rPr>
              <w:t>7</w:t>
            </w:r>
          </w:p>
        </w:tc>
        <w:tc>
          <w:tcPr>
            <w:tcW w:w="1350" w:type="dxa"/>
          </w:tcPr>
          <w:p w14:paraId="33A2E840" w14:textId="77777777" w:rsidR="00736A3A" w:rsidRDefault="0096329F">
            <w:pPr>
              <w:ind w:left="0" w:hanging="2"/>
              <w:rPr>
                <w:rFonts w:ascii="Arial" w:eastAsia="Arial" w:hAnsi="Arial" w:cs="Arial"/>
                <w:sz w:val="18"/>
                <w:szCs w:val="18"/>
              </w:rPr>
            </w:pPr>
            <w:r>
              <w:rPr>
                <w:rFonts w:ascii="Arial" w:eastAsia="Arial" w:hAnsi="Arial" w:cs="Arial"/>
                <w:b/>
                <w:sz w:val="18"/>
                <w:szCs w:val="18"/>
              </w:rPr>
              <w:t>£150,000 - £200,000</w:t>
            </w:r>
          </w:p>
        </w:tc>
        <w:tc>
          <w:tcPr>
            <w:tcW w:w="1477" w:type="dxa"/>
          </w:tcPr>
          <w:p w14:paraId="33A2E841" w14:textId="77777777" w:rsidR="00736A3A" w:rsidRDefault="00736A3A">
            <w:pPr>
              <w:ind w:left="0" w:hanging="2"/>
              <w:rPr>
                <w:rFonts w:ascii="Arial" w:eastAsia="Arial" w:hAnsi="Arial" w:cs="Arial"/>
                <w:sz w:val="18"/>
                <w:szCs w:val="18"/>
              </w:rPr>
            </w:pPr>
          </w:p>
        </w:tc>
        <w:tc>
          <w:tcPr>
            <w:tcW w:w="1369" w:type="dxa"/>
          </w:tcPr>
          <w:p w14:paraId="33A2E842" w14:textId="77777777" w:rsidR="00736A3A" w:rsidRDefault="00736A3A">
            <w:pPr>
              <w:ind w:left="0" w:hanging="2"/>
              <w:rPr>
                <w:rFonts w:ascii="Arial" w:eastAsia="Arial" w:hAnsi="Arial" w:cs="Arial"/>
                <w:sz w:val="18"/>
                <w:szCs w:val="18"/>
              </w:rPr>
            </w:pPr>
          </w:p>
        </w:tc>
        <w:tc>
          <w:tcPr>
            <w:tcW w:w="1349" w:type="dxa"/>
          </w:tcPr>
          <w:p w14:paraId="33A2E843" w14:textId="77777777" w:rsidR="00736A3A" w:rsidRDefault="00736A3A">
            <w:pPr>
              <w:ind w:left="0" w:hanging="2"/>
              <w:rPr>
                <w:rFonts w:ascii="Arial" w:eastAsia="Arial" w:hAnsi="Arial" w:cs="Arial"/>
                <w:sz w:val="18"/>
                <w:szCs w:val="18"/>
              </w:rPr>
            </w:pPr>
          </w:p>
        </w:tc>
        <w:tc>
          <w:tcPr>
            <w:tcW w:w="1602" w:type="dxa"/>
          </w:tcPr>
          <w:p w14:paraId="33A2E844" w14:textId="77777777" w:rsidR="00736A3A" w:rsidRDefault="00736A3A">
            <w:pPr>
              <w:ind w:left="0" w:hanging="2"/>
              <w:rPr>
                <w:rFonts w:ascii="Arial" w:eastAsia="Arial" w:hAnsi="Arial" w:cs="Arial"/>
                <w:sz w:val="18"/>
                <w:szCs w:val="18"/>
              </w:rPr>
            </w:pPr>
          </w:p>
        </w:tc>
        <w:tc>
          <w:tcPr>
            <w:tcW w:w="1369" w:type="dxa"/>
          </w:tcPr>
          <w:p w14:paraId="33A2E845" w14:textId="77777777" w:rsidR="00736A3A" w:rsidRDefault="00736A3A">
            <w:pPr>
              <w:ind w:left="0" w:hanging="2"/>
              <w:rPr>
                <w:rFonts w:ascii="Arial" w:eastAsia="Arial" w:hAnsi="Arial" w:cs="Arial"/>
                <w:sz w:val="18"/>
                <w:szCs w:val="18"/>
              </w:rPr>
            </w:pPr>
          </w:p>
        </w:tc>
        <w:tc>
          <w:tcPr>
            <w:tcW w:w="1349" w:type="dxa"/>
          </w:tcPr>
          <w:p w14:paraId="33A2E846" w14:textId="77777777" w:rsidR="00736A3A" w:rsidRDefault="00736A3A">
            <w:pPr>
              <w:ind w:left="0" w:hanging="2"/>
              <w:rPr>
                <w:rFonts w:ascii="Arial" w:eastAsia="Arial" w:hAnsi="Arial" w:cs="Arial"/>
                <w:sz w:val="18"/>
                <w:szCs w:val="18"/>
              </w:rPr>
            </w:pPr>
          </w:p>
        </w:tc>
        <w:tc>
          <w:tcPr>
            <w:tcW w:w="1602" w:type="dxa"/>
          </w:tcPr>
          <w:p w14:paraId="33A2E847" w14:textId="77777777" w:rsidR="00736A3A" w:rsidRDefault="00736A3A">
            <w:pPr>
              <w:ind w:left="0" w:hanging="2"/>
              <w:rPr>
                <w:rFonts w:ascii="Arial" w:eastAsia="Arial" w:hAnsi="Arial" w:cs="Arial"/>
                <w:sz w:val="18"/>
                <w:szCs w:val="18"/>
              </w:rPr>
            </w:pPr>
          </w:p>
        </w:tc>
        <w:tc>
          <w:tcPr>
            <w:tcW w:w="1369" w:type="dxa"/>
          </w:tcPr>
          <w:p w14:paraId="33A2E848" w14:textId="77777777" w:rsidR="00736A3A" w:rsidRDefault="00736A3A">
            <w:pPr>
              <w:ind w:left="0" w:hanging="2"/>
              <w:rPr>
                <w:rFonts w:ascii="Arial" w:eastAsia="Arial" w:hAnsi="Arial" w:cs="Arial"/>
                <w:sz w:val="18"/>
                <w:szCs w:val="18"/>
              </w:rPr>
            </w:pPr>
          </w:p>
        </w:tc>
        <w:tc>
          <w:tcPr>
            <w:tcW w:w="1349" w:type="dxa"/>
          </w:tcPr>
          <w:p w14:paraId="33A2E849" w14:textId="77777777" w:rsidR="00736A3A" w:rsidRDefault="00736A3A">
            <w:pPr>
              <w:ind w:left="0" w:hanging="2"/>
              <w:rPr>
                <w:rFonts w:ascii="Arial" w:eastAsia="Arial" w:hAnsi="Arial" w:cs="Arial"/>
                <w:sz w:val="18"/>
                <w:szCs w:val="18"/>
              </w:rPr>
            </w:pPr>
          </w:p>
        </w:tc>
      </w:tr>
      <w:tr w:rsidR="00736A3A" w14:paraId="33A2E856" w14:textId="77777777">
        <w:tc>
          <w:tcPr>
            <w:tcW w:w="318" w:type="dxa"/>
          </w:tcPr>
          <w:p w14:paraId="33A2E84B" w14:textId="77777777" w:rsidR="00736A3A" w:rsidRDefault="0096329F">
            <w:pPr>
              <w:ind w:left="0" w:hanging="2"/>
              <w:rPr>
                <w:rFonts w:ascii="Arial" w:eastAsia="Arial" w:hAnsi="Arial" w:cs="Arial"/>
                <w:sz w:val="18"/>
                <w:szCs w:val="18"/>
              </w:rPr>
            </w:pPr>
            <w:r>
              <w:rPr>
                <w:rFonts w:ascii="Arial" w:eastAsia="Arial" w:hAnsi="Arial" w:cs="Arial"/>
                <w:i/>
                <w:sz w:val="18"/>
                <w:szCs w:val="18"/>
              </w:rPr>
              <w:t>8</w:t>
            </w:r>
          </w:p>
        </w:tc>
        <w:tc>
          <w:tcPr>
            <w:tcW w:w="1350" w:type="dxa"/>
          </w:tcPr>
          <w:p w14:paraId="33A2E84C" w14:textId="77777777" w:rsidR="00736A3A" w:rsidRDefault="0096329F">
            <w:pPr>
              <w:ind w:left="0" w:hanging="2"/>
              <w:rPr>
                <w:rFonts w:ascii="Arial" w:eastAsia="Arial" w:hAnsi="Arial" w:cs="Arial"/>
                <w:sz w:val="18"/>
                <w:szCs w:val="18"/>
              </w:rPr>
            </w:pPr>
            <w:r>
              <w:rPr>
                <w:rFonts w:ascii="Arial" w:eastAsia="Arial" w:hAnsi="Arial" w:cs="Arial"/>
                <w:b/>
                <w:sz w:val="18"/>
                <w:szCs w:val="18"/>
              </w:rPr>
              <w:t>Total number of exit packages</w:t>
            </w:r>
          </w:p>
        </w:tc>
        <w:tc>
          <w:tcPr>
            <w:tcW w:w="1477" w:type="dxa"/>
          </w:tcPr>
          <w:p w14:paraId="33A2E84D" w14:textId="77777777" w:rsidR="00736A3A" w:rsidRDefault="00736A3A">
            <w:pPr>
              <w:ind w:left="0" w:hanging="2"/>
              <w:rPr>
                <w:rFonts w:ascii="Arial" w:eastAsia="Arial" w:hAnsi="Arial" w:cs="Arial"/>
                <w:sz w:val="18"/>
                <w:szCs w:val="18"/>
              </w:rPr>
            </w:pPr>
          </w:p>
        </w:tc>
        <w:tc>
          <w:tcPr>
            <w:tcW w:w="1369" w:type="dxa"/>
          </w:tcPr>
          <w:p w14:paraId="33A2E84E" w14:textId="77777777" w:rsidR="00736A3A" w:rsidRDefault="00736A3A">
            <w:pPr>
              <w:ind w:left="0" w:hanging="2"/>
              <w:rPr>
                <w:rFonts w:ascii="Arial" w:eastAsia="Arial" w:hAnsi="Arial" w:cs="Arial"/>
                <w:sz w:val="18"/>
                <w:szCs w:val="18"/>
              </w:rPr>
            </w:pPr>
          </w:p>
        </w:tc>
        <w:tc>
          <w:tcPr>
            <w:tcW w:w="1349" w:type="dxa"/>
          </w:tcPr>
          <w:p w14:paraId="33A2E84F" w14:textId="77777777" w:rsidR="00736A3A" w:rsidRDefault="00736A3A">
            <w:pPr>
              <w:ind w:left="0" w:hanging="2"/>
              <w:rPr>
                <w:rFonts w:ascii="Arial" w:eastAsia="Arial" w:hAnsi="Arial" w:cs="Arial"/>
                <w:sz w:val="18"/>
                <w:szCs w:val="18"/>
              </w:rPr>
            </w:pPr>
          </w:p>
        </w:tc>
        <w:tc>
          <w:tcPr>
            <w:tcW w:w="1602" w:type="dxa"/>
          </w:tcPr>
          <w:p w14:paraId="33A2E850" w14:textId="77777777" w:rsidR="00736A3A" w:rsidRDefault="00736A3A">
            <w:pPr>
              <w:ind w:left="0" w:hanging="2"/>
              <w:rPr>
                <w:rFonts w:ascii="Arial" w:eastAsia="Arial" w:hAnsi="Arial" w:cs="Arial"/>
                <w:sz w:val="18"/>
                <w:szCs w:val="18"/>
              </w:rPr>
            </w:pPr>
          </w:p>
        </w:tc>
        <w:tc>
          <w:tcPr>
            <w:tcW w:w="1369" w:type="dxa"/>
          </w:tcPr>
          <w:p w14:paraId="33A2E851" w14:textId="77777777" w:rsidR="00736A3A" w:rsidRDefault="00736A3A">
            <w:pPr>
              <w:ind w:left="0" w:hanging="2"/>
              <w:rPr>
                <w:rFonts w:ascii="Arial" w:eastAsia="Arial" w:hAnsi="Arial" w:cs="Arial"/>
                <w:sz w:val="18"/>
                <w:szCs w:val="18"/>
              </w:rPr>
            </w:pPr>
          </w:p>
        </w:tc>
        <w:tc>
          <w:tcPr>
            <w:tcW w:w="1349" w:type="dxa"/>
          </w:tcPr>
          <w:p w14:paraId="33A2E852" w14:textId="77777777" w:rsidR="00736A3A" w:rsidRDefault="00736A3A">
            <w:pPr>
              <w:ind w:left="0" w:hanging="2"/>
              <w:rPr>
                <w:rFonts w:ascii="Arial" w:eastAsia="Arial" w:hAnsi="Arial" w:cs="Arial"/>
                <w:sz w:val="18"/>
                <w:szCs w:val="18"/>
              </w:rPr>
            </w:pPr>
          </w:p>
        </w:tc>
        <w:tc>
          <w:tcPr>
            <w:tcW w:w="1602" w:type="dxa"/>
          </w:tcPr>
          <w:p w14:paraId="33A2E853" w14:textId="77777777" w:rsidR="00736A3A" w:rsidRDefault="00736A3A">
            <w:pPr>
              <w:ind w:left="0" w:hanging="2"/>
              <w:rPr>
                <w:rFonts w:ascii="Arial" w:eastAsia="Arial" w:hAnsi="Arial" w:cs="Arial"/>
                <w:sz w:val="18"/>
                <w:szCs w:val="18"/>
              </w:rPr>
            </w:pPr>
          </w:p>
        </w:tc>
        <w:tc>
          <w:tcPr>
            <w:tcW w:w="1369" w:type="dxa"/>
          </w:tcPr>
          <w:p w14:paraId="33A2E854" w14:textId="77777777" w:rsidR="00736A3A" w:rsidRDefault="00736A3A">
            <w:pPr>
              <w:ind w:left="0" w:hanging="2"/>
              <w:rPr>
                <w:rFonts w:ascii="Arial" w:eastAsia="Arial" w:hAnsi="Arial" w:cs="Arial"/>
                <w:sz w:val="18"/>
                <w:szCs w:val="18"/>
              </w:rPr>
            </w:pPr>
          </w:p>
        </w:tc>
        <w:tc>
          <w:tcPr>
            <w:tcW w:w="1349" w:type="dxa"/>
          </w:tcPr>
          <w:p w14:paraId="33A2E855" w14:textId="77777777" w:rsidR="00736A3A" w:rsidRDefault="00736A3A">
            <w:pPr>
              <w:ind w:left="0" w:hanging="2"/>
              <w:rPr>
                <w:rFonts w:ascii="Arial" w:eastAsia="Arial" w:hAnsi="Arial" w:cs="Arial"/>
                <w:sz w:val="18"/>
                <w:szCs w:val="18"/>
              </w:rPr>
            </w:pPr>
          </w:p>
        </w:tc>
      </w:tr>
      <w:tr w:rsidR="00736A3A" w14:paraId="33A2E862" w14:textId="77777777">
        <w:tc>
          <w:tcPr>
            <w:tcW w:w="318" w:type="dxa"/>
          </w:tcPr>
          <w:p w14:paraId="33A2E857" w14:textId="77777777" w:rsidR="00736A3A" w:rsidRDefault="0096329F">
            <w:pPr>
              <w:ind w:left="0" w:hanging="2"/>
              <w:rPr>
                <w:rFonts w:ascii="Arial" w:eastAsia="Arial" w:hAnsi="Arial" w:cs="Arial"/>
                <w:sz w:val="18"/>
                <w:szCs w:val="18"/>
              </w:rPr>
            </w:pPr>
            <w:r>
              <w:rPr>
                <w:rFonts w:ascii="Arial" w:eastAsia="Arial" w:hAnsi="Arial" w:cs="Arial"/>
                <w:i/>
                <w:sz w:val="18"/>
                <w:szCs w:val="18"/>
              </w:rPr>
              <w:t>9</w:t>
            </w:r>
          </w:p>
        </w:tc>
        <w:tc>
          <w:tcPr>
            <w:tcW w:w="1350" w:type="dxa"/>
          </w:tcPr>
          <w:p w14:paraId="33A2E858" w14:textId="77777777" w:rsidR="00736A3A" w:rsidRDefault="0096329F">
            <w:pPr>
              <w:ind w:left="0" w:hanging="2"/>
              <w:rPr>
                <w:rFonts w:ascii="Arial" w:eastAsia="Arial" w:hAnsi="Arial" w:cs="Arial"/>
                <w:sz w:val="18"/>
                <w:szCs w:val="18"/>
              </w:rPr>
            </w:pPr>
            <w:r>
              <w:rPr>
                <w:rFonts w:ascii="Arial" w:eastAsia="Arial" w:hAnsi="Arial" w:cs="Arial"/>
                <w:b/>
                <w:sz w:val="18"/>
                <w:szCs w:val="18"/>
              </w:rPr>
              <w:t>Total cost /£</w:t>
            </w:r>
          </w:p>
        </w:tc>
        <w:tc>
          <w:tcPr>
            <w:tcW w:w="1477" w:type="dxa"/>
          </w:tcPr>
          <w:p w14:paraId="33A2E859" w14:textId="77777777" w:rsidR="00736A3A" w:rsidRDefault="00736A3A">
            <w:pPr>
              <w:ind w:left="0" w:hanging="2"/>
              <w:rPr>
                <w:rFonts w:ascii="Arial" w:eastAsia="Arial" w:hAnsi="Arial" w:cs="Arial"/>
                <w:sz w:val="18"/>
                <w:szCs w:val="18"/>
              </w:rPr>
            </w:pPr>
          </w:p>
        </w:tc>
        <w:tc>
          <w:tcPr>
            <w:tcW w:w="1369" w:type="dxa"/>
          </w:tcPr>
          <w:p w14:paraId="33A2E85A" w14:textId="77777777" w:rsidR="00736A3A" w:rsidRDefault="00736A3A">
            <w:pPr>
              <w:ind w:left="0" w:hanging="2"/>
              <w:rPr>
                <w:rFonts w:ascii="Arial" w:eastAsia="Arial" w:hAnsi="Arial" w:cs="Arial"/>
                <w:sz w:val="18"/>
                <w:szCs w:val="18"/>
              </w:rPr>
            </w:pPr>
          </w:p>
        </w:tc>
        <w:tc>
          <w:tcPr>
            <w:tcW w:w="1349" w:type="dxa"/>
          </w:tcPr>
          <w:p w14:paraId="33A2E85B" w14:textId="77777777" w:rsidR="00736A3A" w:rsidRDefault="00736A3A">
            <w:pPr>
              <w:ind w:left="0" w:hanging="2"/>
              <w:rPr>
                <w:rFonts w:ascii="Arial" w:eastAsia="Arial" w:hAnsi="Arial" w:cs="Arial"/>
                <w:sz w:val="18"/>
                <w:szCs w:val="18"/>
              </w:rPr>
            </w:pPr>
          </w:p>
        </w:tc>
        <w:tc>
          <w:tcPr>
            <w:tcW w:w="1602" w:type="dxa"/>
          </w:tcPr>
          <w:p w14:paraId="33A2E85C" w14:textId="77777777" w:rsidR="00736A3A" w:rsidRDefault="00736A3A">
            <w:pPr>
              <w:ind w:left="0" w:hanging="2"/>
              <w:rPr>
                <w:rFonts w:ascii="Arial" w:eastAsia="Arial" w:hAnsi="Arial" w:cs="Arial"/>
                <w:sz w:val="18"/>
                <w:szCs w:val="18"/>
              </w:rPr>
            </w:pPr>
          </w:p>
        </w:tc>
        <w:tc>
          <w:tcPr>
            <w:tcW w:w="1369" w:type="dxa"/>
          </w:tcPr>
          <w:p w14:paraId="33A2E85D" w14:textId="77777777" w:rsidR="00736A3A" w:rsidRDefault="00736A3A">
            <w:pPr>
              <w:ind w:left="0" w:hanging="2"/>
              <w:rPr>
                <w:rFonts w:ascii="Arial" w:eastAsia="Arial" w:hAnsi="Arial" w:cs="Arial"/>
                <w:sz w:val="18"/>
                <w:szCs w:val="18"/>
              </w:rPr>
            </w:pPr>
          </w:p>
        </w:tc>
        <w:tc>
          <w:tcPr>
            <w:tcW w:w="1349" w:type="dxa"/>
          </w:tcPr>
          <w:p w14:paraId="33A2E85E" w14:textId="77777777" w:rsidR="00736A3A" w:rsidRDefault="00736A3A">
            <w:pPr>
              <w:ind w:left="0" w:hanging="2"/>
              <w:rPr>
                <w:rFonts w:ascii="Arial" w:eastAsia="Arial" w:hAnsi="Arial" w:cs="Arial"/>
                <w:sz w:val="18"/>
                <w:szCs w:val="18"/>
              </w:rPr>
            </w:pPr>
          </w:p>
        </w:tc>
        <w:tc>
          <w:tcPr>
            <w:tcW w:w="1602" w:type="dxa"/>
          </w:tcPr>
          <w:p w14:paraId="33A2E85F" w14:textId="77777777" w:rsidR="00736A3A" w:rsidRDefault="00736A3A">
            <w:pPr>
              <w:ind w:left="0" w:hanging="2"/>
              <w:rPr>
                <w:rFonts w:ascii="Arial" w:eastAsia="Arial" w:hAnsi="Arial" w:cs="Arial"/>
                <w:sz w:val="18"/>
                <w:szCs w:val="18"/>
              </w:rPr>
            </w:pPr>
          </w:p>
        </w:tc>
        <w:tc>
          <w:tcPr>
            <w:tcW w:w="1369" w:type="dxa"/>
          </w:tcPr>
          <w:p w14:paraId="33A2E860" w14:textId="77777777" w:rsidR="00736A3A" w:rsidRDefault="00736A3A">
            <w:pPr>
              <w:ind w:left="0" w:hanging="2"/>
              <w:rPr>
                <w:rFonts w:ascii="Arial" w:eastAsia="Arial" w:hAnsi="Arial" w:cs="Arial"/>
                <w:sz w:val="18"/>
                <w:szCs w:val="18"/>
              </w:rPr>
            </w:pPr>
          </w:p>
        </w:tc>
        <w:tc>
          <w:tcPr>
            <w:tcW w:w="1349" w:type="dxa"/>
          </w:tcPr>
          <w:p w14:paraId="33A2E861" w14:textId="77777777" w:rsidR="00736A3A" w:rsidRDefault="00736A3A">
            <w:pPr>
              <w:ind w:left="0" w:hanging="2"/>
              <w:rPr>
                <w:rFonts w:ascii="Arial" w:eastAsia="Arial" w:hAnsi="Arial" w:cs="Arial"/>
                <w:sz w:val="18"/>
                <w:szCs w:val="18"/>
              </w:rPr>
            </w:pPr>
          </w:p>
        </w:tc>
      </w:tr>
    </w:tbl>
    <w:p w14:paraId="33A2E863" w14:textId="77777777" w:rsidR="00736A3A" w:rsidRDefault="00736A3A">
      <w:pPr>
        <w:ind w:left="0" w:hanging="2"/>
        <w:rPr>
          <w:rFonts w:ascii="Arial" w:eastAsia="Arial" w:hAnsi="Arial" w:cs="Arial"/>
          <w:sz w:val="18"/>
          <w:szCs w:val="18"/>
        </w:rPr>
      </w:pPr>
    </w:p>
    <w:p w14:paraId="33A2E864" w14:textId="77777777" w:rsidR="00736A3A" w:rsidRDefault="00736A3A">
      <w:pPr>
        <w:ind w:left="0" w:hanging="2"/>
        <w:rPr>
          <w:rFonts w:ascii="Arial" w:eastAsia="Arial" w:hAnsi="Arial" w:cs="Arial"/>
          <w:sz w:val="16"/>
          <w:szCs w:val="16"/>
        </w:rPr>
      </w:pPr>
    </w:p>
    <w:p w14:paraId="33A2E865" w14:textId="77777777" w:rsidR="00736A3A" w:rsidRDefault="0096329F">
      <w:pPr>
        <w:ind w:left="0" w:hanging="2"/>
        <w:rPr>
          <w:rFonts w:ascii="Arial" w:eastAsia="Arial" w:hAnsi="Arial" w:cs="Arial"/>
          <w:sz w:val="16"/>
          <w:szCs w:val="16"/>
        </w:rPr>
      </w:pPr>
      <w:r>
        <w:rPr>
          <w:rFonts w:ascii="Arial" w:eastAsia="Arial" w:hAnsi="Arial" w:cs="Arial"/>
          <w:sz w:val="16"/>
          <w:szCs w:val="16"/>
        </w:rPr>
        <w:t>Redundancy and other departure costs have been paid in accordance with the provisions of the Civil Service Compensation Scheme, a statutory scheme made under the Superannuation Act 1972.  Exit costs are accounted for in full in the year of departure.  Where the department has agreed early retirements, the additional costs are met by the department and not by the Civil Service pension scheme.  Ill-health retirement costs are met by the pension scheme and are not included in the table.</w:t>
      </w:r>
    </w:p>
    <w:p w14:paraId="33A2E866" w14:textId="77777777" w:rsidR="00736A3A" w:rsidRDefault="00736A3A">
      <w:pPr>
        <w:ind w:left="0" w:hanging="2"/>
        <w:rPr>
          <w:rFonts w:ascii="Arial" w:eastAsia="Arial" w:hAnsi="Arial" w:cs="Arial"/>
          <w:sz w:val="16"/>
          <w:szCs w:val="16"/>
        </w:rPr>
      </w:pPr>
    </w:p>
    <w:p w14:paraId="33A2E867" w14:textId="77777777" w:rsidR="00736A3A" w:rsidRDefault="0096329F">
      <w:pPr>
        <w:ind w:left="0" w:hanging="2"/>
        <w:rPr>
          <w:rFonts w:ascii="Arial" w:eastAsia="Arial" w:hAnsi="Arial" w:cs="Arial"/>
          <w:sz w:val="22"/>
          <w:szCs w:val="22"/>
        </w:rPr>
      </w:pPr>
      <w:r>
        <w:rPr>
          <w:rFonts w:ascii="Arial" w:eastAsia="Arial" w:hAnsi="Arial" w:cs="Arial"/>
          <w:sz w:val="16"/>
          <w:szCs w:val="16"/>
        </w:rPr>
        <w:t>[Note: entities should provide additional text if any payments are not covered by the CSCS, for instance, ex-gratia payments agreed with the Treasury or scheme details where using another scheme.  Other schemes are most likely to apply in other designated bodies not listed in Schedule 1 to the Superannuation Act 1972 and may apply different statutory compensation terms]</w:t>
      </w:r>
    </w:p>
    <w:sectPr w:rsidR="00736A3A">
      <w:pgSz w:w="16838" w:h="11906" w:orient="landscape"/>
      <w:pgMar w:top="1273" w:right="1417" w:bottom="1273" w:left="1134"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2E871" w14:textId="77777777" w:rsidR="0096329F" w:rsidRDefault="0096329F">
      <w:pPr>
        <w:spacing w:line="240" w:lineRule="auto"/>
        <w:ind w:left="0" w:hanging="2"/>
      </w:pPr>
      <w:r>
        <w:separator/>
      </w:r>
    </w:p>
  </w:endnote>
  <w:endnote w:type="continuationSeparator" w:id="0">
    <w:p w14:paraId="33A2E873" w14:textId="77777777" w:rsidR="0096329F" w:rsidRDefault="0096329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E86C" w14:textId="25A610BC" w:rsidR="00736A3A" w:rsidRDefault="0096329F">
    <w:pPr>
      <w:pBdr>
        <w:top w:val="nil"/>
        <w:left w:val="nil"/>
        <w:bottom w:val="nil"/>
        <w:right w:val="nil"/>
        <w:between w:val="nil"/>
      </w:pBdr>
      <w:tabs>
        <w:tab w:val="center" w:pos="4153"/>
        <w:tab w:val="right" w:pos="8306"/>
        <w:tab w:val="right" w:pos="9072"/>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EE4E28">
      <w:rPr>
        <w:noProof/>
        <w:color w:val="000000"/>
      </w:rPr>
      <w:t>1</w:t>
    </w:r>
    <w:r>
      <w:rPr>
        <w:color w:val="000000"/>
      </w:rPr>
      <w:fldChar w:fldCharType="end"/>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2E86D" w14:textId="77777777" w:rsidR="0096329F" w:rsidRDefault="0096329F">
      <w:pPr>
        <w:spacing w:line="240" w:lineRule="auto"/>
        <w:ind w:left="0" w:hanging="2"/>
      </w:pPr>
      <w:r>
        <w:separator/>
      </w:r>
    </w:p>
  </w:footnote>
  <w:footnote w:type="continuationSeparator" w:id="0">
    <w:p w14:paraId="33A2E86F" w14:textId="77777777" w:rsidR="0096329F" w:rsidRDefault="0096329F">
      <w:pPr>
        <w:spacing w:line="240" w:lineRule="auto"/>
        <w:ind w:left="0" w:hanging="2"/>
      </w:pPr>
      <w:r>
        <w:continuationSeparator/>
      </w:r>
    </w:p>
  </w:footnote>
  <w:footnote w:id="1">
    <w:p w14:paraId="33A2E86D" w14:textId="77777777" w:rsidR="00736A3A" w:rsidRDefault="0096329F">
      <w:pPr>
        <w:pBdr>
          <w:top w:val="nil"/>
          <w:left w:val="nil"/>
          <w:bottom w:val="nil"/>
          <w:right w:val="nil"/>
          <w:between w:val="nil"/>
        </w:pBdr>
        <w:spacing w:line="240" w:lineRule="auto"/>
        <w:ind w:left="0" w:hanging="2"/>
        <w:rPr>
          <w:rFonts w:ascii="Arial" w:eastAsia="Arial" w:hAnsi="Arial" w:cs="Arial"/>
          <w:color w:val="000000"/>
        </w:rPr>
      </w:pPr>
      <w:r>
        <w:rPr>
          <w:rStyle w:val="FootnoteReference"/>
        </w:rPr>
        <w:footnoteRef/>
      </w:r>
      <w:r>
        <w:rPr>
          <w:rFonts w:ascii="Arial" w:eastAsia="Arial" w:hAnsi="Arial" w:cs="Arial"/>
          <w:color w:val="000000"/>
        </w:rPr>
        <w:t xml:space="preserve"> The value of pension benefits accrued during the year is calculated as (the real increase in pension multiplied by 20) less (the contributions made by the individual).  The real increase excludes increases due to inflation or any increase or decrease due to a transfer of pension rights.</w:t>
      </w:r>
    </w:p>
  </w:footnote>
  <w:footnote w:id="2">
    <w:p w14:paraId="33A2E86E" w14:textId="77777777" w:rsidR="00736A3A" w:rsidRDefault="0096329F">
      <w:pPr>
        <w:pBdr>
          <w:top w:val="nil"/>
          <w:left w:val="nil"/>
          <w:bottom w:val="nil"/>
          <w:right w:val="nil"/>
          <w:between w:val="nil"/>
        </w:pBdr>
        <w:spacing w:line="240" w:lineRule="auto"/>
        <w:ind w:left="0" w:hanging="2"/>
        <w:rPr>
          <w:rFonts w:ascii="Arial" w:eastAsia="Arial" w:hAnsi="Arial" w:cs="Arial"/>
          <w:color w:val="000000"/>
        </w:rPr>
      </w:pPr>
      <w:r>
        <w:rPr>
          <w:rStyle w:val="FootnoteReference"/>
        </w:rPr>
        <w:footnoteRef/>
      </w:r>
      <w:r>
        <w:rPr>
          <w:rFonts w:ascii="Arial" w:eastAsia="Arial" w:hAnsi="Arial" w:cs="Arial"/>
          <w:color w:val="000000"/>
        </w:rPr>
        <w:t xml:space="preserve"> The value of pension benefits accrued during the year is calculated as (the real increase in pension multiplied by 20) plus (the real increase in any lump sum) less (the contributions made by the individual).  The real increases exclude increases due to inflation or any increase or decreases due to a transfer of pension rights.</w:t>
      </w:r>
    </w:p>
  </w:footnote>
  <w:footnote w:id="3">
    <w:p w14:paraId="33A2E86F" w14:textId="52F673A5" w:rsidR="00736A3A" w:rsidRDefault="0096329F">
      <w:pPr>
        <w:pBdr>
          <w:top w:val="nil"/>
          <w:left w:val="nil"/>
          <w:bottom w:val="nil"/>
          <w:right w:val="nil"/>
          <w:between w:val="nil"/>
        </w:pBdr>
        <w:spacing w:line="240" w:lineRule="auto"/>
        <w:ind w:left="0" w:hanging="2"/>
        <w:rPr>
          <w:rFonts w:ascii="Arial" w:eastAsia="Arial" w:hAnsi="Arial" w:cs="Arial"/>
          <w:color w:val="000000"/>
        </w:rPr>
      </w:pPr>
      <w:r>
        <w:rPr>
          <w:rStyle w:val="FootnoteReference"/>
        </w:rPr>
        <w:footnoteRef/>
      </w:r>
      <w:r>
        <w:rPr>
          <w:color w:val="000000"/>
        </w:rPr>
        <w:t xml:space="preserve"> </w:t>
      </w:r>
      <w:r>
        <w:rPr>
          <w:rFonts w:ascii="Arial" w:eastAsia="Arial" w:hAnsi="Arial" w:cs="Arial"/>
          <w:color w:val="000000"/>
        </w:rPr>
        <w:t xml:space="preserve">The pension benefits of any members affected by the public service pensions remedy which were reported in 2022-23 </w:t>
      </w:r>
      <w:r w:rsidR="00CE1725">
        <w:rPr>
          <w:rFonts w:ascii="Arial" w:eastAsia="Arial" w:hAnsi="Arial" w:cs="Arial"/>
          <w:color w:val="000000"/>
        </w:rPr>
        <w:t>based on</w:t>
      </w:r>
      <w:r>
        <w:rPr>
          <w:rFonts w:ascii="Arial" w:eastAsia="Arial" w:hAnsi="Arial" w:cs="Arial"/>
          <w:color w:val="000000"/>
        </w:rPr>
        <w:t xml:space="preserve"> </w:t>
      </w:r>
      <w:r>
        <w:rPr>
          <w:rFonts w:ascii="Arial" w:eastAsia="Arial" w:hAnsi="Arial" w:cs="Arial"/>
          <w:b/>
          <w:color w:val="000000"/>
        </w:rPr>
        <w:t xml:space="preserve">alpha </w:t>
      </w:r>
      <w:r>
        <w:rPr>
          <w:rFonts w:ascii="Arial" w:eastAsia="Arial" w:hAnsi="Arial" w:cs="Arial"/>
          <w:color w:val="000000"/>
        </w:rPr>
        <w:t xml:space="preserve">membership for the period between 1 April 2015 and 31 March 2022 have been reported since 2023-24 </w:t>
      </w:r>
      <w:r w:rsidR="00CE1725">
        <w:rPr>
          <w:rFonts w:ascii="Arial" w:eastAsia="Arial" w:hAnsi="Arial" w:cs="Arial"/>
          <w:color w:val="000000"/>
        </w:rPr>
        <w:t>based on</w:t>
      </w:r>
      <w:r>
        <w:rPr>
          <w:rFonts w:ascii="Arial" w:eastAsia="Arial" w:hAnsi="Arial" w:cs="Arial"/>
          <w:color w:val="000000"/>
        </w:rPr>
        <w:t xml:space="preserve"> PCSPS membership for the same period.</w:t>
      </w:r>
    </w:p>
    <w:p w14:paraId="33A2E870" w14:textId="77777777" w:rsidR="00736A3A" w:rsidRDefault="00736A3A">
      <w:pPr>
        <w:pBdr>
          <w:top w:val="nil"/>
          <w:left w:val="nil"/>
          <w:bottom w:val="nil"/>
          <w:right w:val="nil"/>
          <w:between w:val="nil"/>
        </w:pBdr>
        <w:spacing w:line="240" w:lineRule="auto"/>
        <w:ind w:left="0" w:hanging="2"/>
        <w:rPr>
          <w:color w:val="000000"/>
        </w:rPr>
      </w:pPr>
    </w:p>
  </w:footnote>
  <w:footnote w:id="4">
    <w:p w14:paraId="33A2E871" w14:textId="7015D04C" w:rsidR="00736A3A" w:rsidRDefault="0096329F">
      <w:pPr>
        <w:pBdr>
          <w:top w:val="nil"/>
          <w:left w:val="nil"/>
          <w:bottom w:val="nil"/>
          <w:right w:val="nil"/>
          <w:between w:val="nil"/>
        </w:pBdr>
        <w:spacing w:line="240" w:lineRule="auto"/>
        <w:ind w:left="0" w:hanging="2"/>
        <w:rPr>
          <w:color w:val="000000"/>
        </w:rPr>
      </w:pPr>
      <w:r>
        <w:rPr>
          <w:rStyle w:val="FootnoteReference"/>
        </w:rPr>
        <w:footnoteRef/>
      </w:r>
      <w:r>
        <w:rPr>
          <w:color w:val="000000"/>
        </w:rPr>
        <w:t xml:space="preserve"> </w:t>
      </w:r>
      <w:r>
        <w:rPr>
          <w:rFonts w:ascii="Arial" w:eastAsia="Arial" w:hAnsi="Arial" w:cs="Arial"/>
          <w:color w:val="000000"/>
        </w:rPr>
        <w:t xml:space="preserve">The pension benefits of any members affected by the public service pensions remedy which were reported in 2022-23 </w:t>
      </w:r>
      <w:r w:rsidR="00CE1725">
        <w:rPr>
          <w:rFonts w:ascii="Arial" w:eastAsia="Arial" w:hAnsi="Arial" w:cs="Arial"/>
          <w:color w:val="000000"/>
        </w:rPr>
        <w:t>based on</w:t>
      </w:r>
      <w:r>
        <w:rPr>
          <w:rFonts w:ascii="Arial" w:eastAsia="Arial" w:hAnsi="Arial" w:cs="Arial"/>
          <w:color w:val="000000"/>
        </w:rPr>
        <w:t xml:space="preserve"> </w:t>
      </w:r>
      <w:r>
        <w:rPr>
          <w:rFonts w:ascii="Arial" w:eastAsia="Arial" w:hAnsi="Arial" w:cs="Arial"/>
          <w:b/>
          <w:color w:val="000000"/>
        </w:rPr>
        <w:t xml:space="preserve">alpha </w:t>
      </w:r>
      <w:r>
        <w:rPr>
          <w:rFonts w:ascii="Arial" w:eastAsia="Arial" w:hAnsi="Arial" w:cs="Arial"/>
          <w:color w:val="000000"/>
        </w:rPr>
        <w:t xml:space="preserve">membership for the period between 1 April 2015 and 31 March 2022 have been reported since 2023-24 </w:t>
      </w:r>
      <w:r w:rsidR="00CE1725">
        <w:rPr>
          <w:rFonts w:ascii="Arial" w:eastAsia="Arial" w:hAnsi="Arial" w:cs="Arial"/>
          <w:color w:val="000000"/>
        </w:rPr>
        <w:t>based on</w:t>
      </w:r>
      <w:r>
        <w:rPr>
          <w:rFonts w:ascii="Arial" w:eastAsia="Arial" w:hAnsi="Arial" w:cs="Arial"/>
          <w:color w:val="000000"/>
        </w:rPr>
        <w:t xml:space="preserve"> PCSPS membership for the same period.</w:t>
      </w:r>
    </w:p>
  </w:footnote>
  <w:footnote w:id="5">
    <w:p w14:paraId="33A2E872" w14:textId="77777777" w:rsidR="00736A3A" w:rsidRDefault="0096329F">
      <w:pPr>
        <w:pBdr>
          <w:top w:val="nil"/>
          <w:left w:val="nil"/>
          <w:bottom w:val="nil"/>
          <w:right w:val="nil"/>
          <w:between w:val="nil"/>
        </w:pBdr>
        <w:spacing w:line="240" w:lineRule="auto"/>
        <w:ind w:left="0" w:hanging="2"/>
        <w:rPr>
          <w:rFonts w:ascii="Arial" w:eastAsia="Arial" w:hAnsi="Arial" w:cs="Arial"/>
          <w:color w:val="000000"/>
        </w:rPr>
      </w:pPr>
      <w:r>
        <w:rPr>
          <w:rStyle w:val="FootnoteReference"/>
        </w:rPr>
        <w:footnoteRef/>
      </w:r>
      <w:r>
        <w:rPr>
          <w:rFonts w:ascii="Arial" w:eastAsia="Arial" w:hAnsi="Arial" w:cs="Arial"/>
          <w:color w:val="000000"/>
        </w:rPr>
        <w:t xml:space="preserve"> Taking account of inflation, the CETV funded by the employer has decreased in real terms.</w:t>
      </w:r>
    </w:p>
  </w:footnote>
  <w:footnote w:id="6">
    <w:p w14:paraId="33A2E873" w14:textId="77777777" w:rsidR="00736A3A" w:rsidRDefault="0096329F">
      <w:pPr>
        <w:pBdr>
          <w:top w:val="nil"/>
          <w:left w:val="nil"/>
          <w:bottom w:val="nil"/>
          <w:right w:val="nil"/>
          <w:between w:val="nil"/>
        </w:pBdr>
        <w:spacing w:line="240" w:lineRule="auto"/>
        <w:ind w:left="0" w:hanging="2"/>
        <w:rPr>
          <w:color w:val="000000"/>
        </w:rPr>
      </w:pPr>
      <w:r>
        <w:rPr>
          <w:rStyle w:val="FootnoteReference"/>
        </w:rPr>
        <w:footnoteRef/>
      </w:r>
      <w:r>
        <w:rPr>
          <w:color w:val="000000"/>
        </w:rPr>
        <w:t xml:space="preserve"> </w:t>
      </w:r>
      <w:hyperlink r:id="rId1">
        <w:r>
          <w:rPr>
            <w:rFonts w:ascii="Arial" w:eastAsia="Arial" w:hAnsi="Arial" w:cs="Arial"/>
            <w:color w:val="0000FF"/>
            <w:u w:val="single"/>
          </w:rPr>
          <w:t>www.gov.uk/government/collections/how-the-public-service-pension-remedy-affects-your-pension</w:t>
        </w:r>
      </w:hyperlink>
    </w:p>
    <w:p w14:paraId="33A2E874" w14:textId="77777777" w:rsidR="00736A3A" w:rsidRDefault="00736A3A">
      <w:pPr>
        <w:pBdr>
          <w:top w:val="nil"/>
          <w:left w:val="nil"/>
          <w:bottom w:val="nil"/>
          <w:right w:val="nil"/>
          <w:between w:val="nil"/>
        </w:pBdr>
        <w:spacing w:line="240" w:lineRule="auto"/>
        <w:ind w:left="0" w:hanging="2"/>
        <w:rPr>
          <w:rFonts w:ascii="Arial" w:eastAsia="Arial" w:hAnsi="Arial" w:cs="Arial"/>
          <w:color w:val="000000"/>
        </w:rPr>
      </w:pPr>
    </w:p>
    <w:p w14:paraId="33A2E875" w14:textId="77777777" w:rsidR="00736A3A" w:rsidRDefault="00736A3A">
      <w:pPr>
        <w:pBdr>
          <w:top w:val="nil"/>
          <w:left w:val="nil"/>
          <w:bottom w:val="nil"/>
          <w:right w:val="nil"/>
          <w:between w:val="nil"/>
        </w:pBdr>
        <w:spacing w:line="240" w:lineRule="auto"/>
        <w:ind w:left="0" w:hanging="2"/>
        <w:rPr>
          <w:rFonts w:ascii="Arial" w:eastAsia="Arial" w:hAnsi="Arial" w:cs="Arial"/>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E868" w14:textId="77777777" w:rsidR="00736A3A" w:rsidRDefault="0096329F">
    <w:pPr>
      <w:pBdr>
        <w:top w:val="nil"/>
        <w:left w:val="nil"/>
        <w:bottom w:val="nil"/>
        <w:right w:val="nil"/>
        <w:between w:val="nil"/>
      </w:pBdr>
      <w:tabs>
        <w:tab w:val="center" w:pos="4153"/>
        <w:tab w:val="right" w:pos="8306"/>
        <w:tab w:val="left" w:pos="4860"/>
        <w:tab w:val="right" w:pos="9356"/>
      </w:tabs>
      <w:spacing w:line="240" w:lineRule="auto"/>
      <w:ind w:left="0" w:hanging="2"/>
      <w:rPr>
        <w:rFonts w:ascii="Arial" w:eastAsia="Arial" w:hAnsi="Arial" w:cs="Arial"/>
        <w:color w:val="008080"/>
        <w:sz w:val="44"/>
        <w:szCs w:val="44"/>
      </w:rPr>
    </w:pP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8080"/>
        <w:sz w:val="44"/>
        <w:szCs w:val="44"/>
      </w:rPr>
      <w:tab/>
      <w:t>Annex 13C</w:t>
    </w:r>
  </w:p>
  <w:p w14:paraId="33A2E869" w14:textId="77777777" w:rsidR="00736A3A" w:rsidRDefault="0096329F">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Disclosure of salary, pension, and compensation information for 2024-25</w:t>
    </w:r>
  </w:p>
  <w:p w14:paraId="33A2E86A" w14:textId="77777777" w:rsidR="00736A3A" w:rsidRDefault="00736A3A">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4"/>
        <w:szCs w:val="24"/>
      </w:rPr>
    </w:pPr>
  </w:p>
  <w:p w14:paraId="33A2E86B" w14:textId="77777777" w:rsidR="00736A3A" w:rsidRDefault="0096329F">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A3A"/>
    <w:rsid w:val="00550703"/>
    <w:rsid w:val="00736A3A"/>
    <w:rsid w:val="0096329F"/>
    <w:rsid w:val="00A43833"/>
    <w:rsid w:val="00CE1725"/>
    <w:rsid w:val="00EE4E28"/>
    <w:rsid w:val="00FB7FB8"/>
    <w:rsid w:val="00FD1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2E68D"/>
  <w15:docId w15:val="{117A0DDD-FC12-448E-8F7A-03357D55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pPr>
    <w:rPr>
      <w:i/>
      <w:sz w:val="24"/>
    </w:rPr>
  </w:style>
  <w:style w:type="paragraph" w:styleId="Heading2">
    <w:name w:val="heading 2"/>
    <w:basedOn w:val="Normal"/>
    <w:next w:val="Normal"/>
    <w:uiPriority w:val="9"/>
    <w:unhideWhenUsed/>
    <w:qFormat/>
    <w:pPr>
      <w:keepNext/>
      <w:outlineLvl w:val="1"/>
    </w:pPr>
    <w:rPr>
      <w:b/>
      <w:sz w:val="24"/>
    </w:rPr>
  </w:style>
  <w:style w:type="paragraph" w:styleId="Heading3">
    <w:name w:val="heading 3"/>
    <w:basedOn w:val="Normal"/>
    <w:next w:val="Normal"/>
    <w:uiPriority w:val="9"/>
    <w:unhideWhenUsed/>
    <w:qFormat/>
    <w:pPr>
      <w:keepNext/>
      <w:outlineLvl w:val="2"/>
    </w:pPr>
    <w:rPr>
      <w:rFonts w:ascii="Arial" w:hAnsi="Arial"/>
      <w:i/>
      <w:sz w:val="22"/>
    </w:rPr>
  </w:style>
  <w:style w:type="paragraph" w:styleId="Heading4">
    <w:name w:val="heading 4"/>
    <w:basedOn w:val="Normal"/>
    <w:next w:val="Normal"/>
    <w:uiPriority w:val="9"/>
    <w:unhideWhenUsed/>
    <w:qFormat/>
    <w:pPr>
      <w:keepNext/>
      <w:outlineLvl w:val="3"/>
    </w:pPr>
    <w:rPr>
      <w:rFonts w:ascii="Arial" w:hAnsi="Arial"/>
      <w:b/>
      <w:sz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5">
    <w:name w:val="H5"/>
    <w:basedOn w:val="Normal"/>
    <w:next w:val="Normal"/>
    <w:pPr>
      <w:keepNext/>
      <w:spacing w:before="100" w:after="100"/>
      <w:outlineLvl w:val="5"/>
    </w:pPr>
    <w:rPr>
      <w:b/>
      <w:snapToGrid w:val="0"/>
      <w:lang w:eastAsia="en-US"/>
    </w:rPr>
  </w:style>
  <w:style w:type="paragraph" w:customStyle="1" w:styleId="H3">
    <w:name w:val="H3"/>
    <w:basedOn w:val="Normal"/>
    <w:next w:val="Normal"/>
    <w:pPr>
      <w:keepNext/>
      <w:spacing w:before="100" w:after="100"/>
      <w:outlineLvl w:val="3"/>
    </w:pPr>
    <w:rPr>
      <w:b/>
      <w:snapToGrid w:val="0"/>
      <w:sz w:val="28"/>
      <w:lang w:eastAsia="en-US"/>
    </w:rPr>
  </w:style>
  <w:style w:type="paragraph" w:customStyle="1" w:styleId="DefinitionTerm">
    <w:name w:val="Definition Term"/>
    <w:basedOn w:val="Normal"/>
    <w:next w:val="DefinitionList"/>
    <w:rPr>
      <w:snapToGrid w:val="0"/>
      <w:sz w:val="24"/>
      <w:lang w:eastAsia="en-US"/>
    </w:rPr>
  </w:style>
  <w:style w:type="paragraph" w:customStyle="1" w:styleId="DefinitionList">
    <w:name w:val="Definition List"/>
    <w:basedOn w:val="Normal"/>
    <w:next w:val="DefinitionTerm"/>
    <w:pPr>
      <w:ind w:left="360"/>
    </w:pPr>
    <w:rPr>
      <w:snapToGrid w:val="0"/>
      <w:sz w:val="24"/>
      <w:lang w:eastAsia="en-US"/>
    </w:rPr>
  </w:style>
  <w:style w:type="character" w:styleId="Hyperlink">
    <w:name w:val="Hyperlink"/>
    <w:rPr>
      <w:color w:val="0000FF"/>
      <w:w w:val="100"/>
      <w:position w:val="-1"/>
      <w:u w:val="single"/>
      <w:effect w:val="none"/>
      <w:vertAlign w:val="baseline"/>
      <w:cs w:val="0"/>
      <w:em w:val="none"/>
    </w:rPr>
  </w:style>
  <w:style w:type="paragraph" w:styleId="BodyText">
    <w:name w:val="Body Text"/>
    <w:basedOn w:val="Normal"/>
    <w:rPr>
      <w:rFonts w:ascii="Arial" w:hAnsi="Arial"/>
      <w:sz w:val="22"/>
    </w:rPr>
  </w:style>
  <w:style w:type="paragraph" w:styleId="FootnoteText">
    <w:name w:val="footnote text"/>
    <w:basedOn w:val="Normal"/>
  </w:style>
  <w:style w:type="character" w:styleId="FootnoteReference">
    <w:name w:val="footnote reference"/>
    <w:rPr>
      <w:w w:val="100"/>
      <w:position w:val="-1"/>
      <w:effect w:val="none"/>
      <w:vertAlign w:val="superscript"/>
      <w:cs w:val="0"/>
      <w:em w:val="none"/>
    </w:rPr>
  </w:style>
  <w:style w:type="paragraph" w:styleId="BodyText2">
    <w:name w:val="Body Text 2"/>
    <w:basedOn w:val="Normal"/>
    <w:pPr>
      <w:jc w:val="right"/>
    </w:pPr>
    <w:rPr>
      <w:rFonts w:ascii="Arial" w:hAnsi="Arial"/>
      <w:sz w:val="22"/>
    </w:rPr>
  </w:style>
  <w:style w:type="paragraph" w:styleId="BodyTextIndent">
    <w:name w:val="Body Text Indent"/>
    <w:basedOn w:val="Normal"/>
    <w:pPr>
      <w:tabs>
        <w:tab w:val="left" w:pos="0"/>
        <w:tab w:val="left" w:pos="576"/>
        <w:tab w:val="left" w:pos="1152"/>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152"/>
      <w:jc w:val="both"/>
    </w:pPr>
    <w:rPr>
      <w:i/>
      <w:snapToGrid w:val="0"/>
      <w:sz w:val="23"/>
      <w:lang w:val="en-US"/>
    </w:rPr>
  </w:style>
  <w:style w:type="paragraph" w:styleId="BalloonText">
    <w:name w:val="Balloon Text"/>
    <w:basedOn w:val="Normal"/>
    <w:rPr>
      <w:rFonts w:ascii="Tahoma" w:hAnsi="Tahoma" w:cs="Tahoma"/>
      <w:sz w:val="16"/>
      <w:szCs w:val="16"/>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style>
  <w:style w:type="paragraph" w:styleId="CommentSubject">
    <w:name w:val="annotation subject"/>
    <w:basedOn w:val="CommentText"/>
    <w:next w:val="CommentText"/>
    <w:rPr>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pPr>
      <w:spacing w:after="240"/>
    </w:pPr>
    <w:rPr>
      <w:rFonts w:ascii="Arial" w:hAnsi="Arial"/>
      <w:spacing w:val="-5"/>
      <w:sz w:val="22"/>
      <w:lang w:eastAsia="en-US"/>
    </w:rPr>
  </w:style>
  <w:style w:type="character" w:styleId="FollowedHyperlink">
    <w:name w:val="FollowedHyperlink"/>
    <w:qFormat/>
    <w:rPr>
      <w:color w:val="800080"/>
      <w:w w:val="100"/>
      <w:position w:val="-1"/>
      <w:u w:val="single"/>
      <w:effect w:val="none"/>
      <w:vertAlign w:val="baseline"/>
      <w:cs w:val="0"/>
      <w:em w:val="none"/>
    </w:rPr>
  </w:style>
  <w:style w:type="paragraph" w:styleId="PlainText">
    <w:name w:val="Plain Text"/>
    <w:basedOn w:val="Normal"/>
    <w:qFormat/>
    <w:rPr>
      <w:rFonts w:ascii="Arial" w:hAnsi="Arial"/>
      <w:sz w:val="24"/>
      <w:szCs w:val="21"/>
    </w:rPr>
  </w:style>
  <w:style w:type="character" w:customStyle="1" w:styleId="PlainTextChar">
    <w:name w:val="Plain Text Char"/>
    <w:rPr>
      <w:rFonts w:ascii="Arial" w:hAnsi="Arial"/>
      <w:w w:val="100"/>
      <w:position w:val="-1"/>
      <w:sz w:val="24"/>
      <w:szCs w:val="2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rPr>
  </w:style>
  <w:style w:type="paragraph" w:styleId="ListParagraph">
    <w:name w:val="List Paragraph"/>
    <w:basedOn w:val="Normal"/>
    <w:pPr>
      <w:ind w:left="720"/>
    </w:pPr>
    <w:rPr>
      <w:rFonts w:ascii="Calibri" w:eastAsia="Calibri" w:hAnsi="Calibri" w:cs="Calibri"/>
      <w:sz w:val="22"/>
      <w:szCs w:val="22"/>
    </w:r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character" w:customStyle="1" w:styleId="FootnoteTextChar">
    <w:name w:val="Footnote Text Char"/>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ypcpfpension.co.uk/wp-content/uploads/2019/09/ministerial-pension-scheme-rul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vilservicecommission.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ivilservicepensionscheme.org.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gov.uk/government/collections/how-the-public-service-pension-remedy-affects-your-pen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9881Cfi592v7Q2JnJ1svbmilzw==">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2654</Words>
  <Characters>15131</Characters>
  <Application>Microsoft Office Word</Application>
  <DocSecurity>0</DocSecurity>
  <Lines>126</Lines>
  <Paragraphs>35</Paragraphs>
  <ScaleCrop>false</ScaleCrop>
  <Company/>
  <LinksUpToDate>false</LinksUpToDate>
  <CharactersWithSpaces>17750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Andrew - Civil Service Pensions -</dc:creator>
  <cp:lastModifiedBy>Sherlock, John</cp:lastModifiedBy>
  <cp:revision>2</cp:revision>
  <dcterms:created xsi:type="dcterms:W3CDTF">2025-01-30T11:59:00Z</dcterms:created>
  <dcterms:modified xsi:type="dcterms:W3CDTF">2025-01-30T11:59:00Z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