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93" w:line="240" w:lineRule="auto"/>
        <w:rPr>
          <w:color w:val="0b0c0c"/>
          <w:sz w:val="24"/>
          <w:szCs w:val="24"/>
          <w:highlight w:val="white"/>
        </w:rPr>
      </w:pPr>
      <w:r w:rsidDel="00000000" w:rsidR="00000000" w:rsidRPr="00000000">
        <w:rPr>
          <w:color w:val="0b0c0c"/>
          <w:sz w:val="24"/>
          <w:szCs w:val="24"/>
          <w:highlight w:val="white"/>
          <w:rtl w:val="0"/>
        </w:rPr>
        <w:t xml:space="preserve">In accordance with the Public Service Pensions Act 2013, section 21(2), the Cabinet Office is required to publish a statement indicating the persons that we would normally expect to consult under section 21(1) before making scheme regulations under that Act. </w:t>
      </w:r>
    </w:p>
    <w:p w:rsidR="00000000" w:rsidDel="00000000" w:rsidP="00000000" w:rsidRDefault="00000000" w:rsidRPr="00000000" w14:paraId="00000002">
      <w:pPr>
        <w:spacing w:after="193" w:line="240" w:lineRule="auto"/>
        <w:rPr>
          <w:color w:val="0b0c0c"/>
          <w:sz w:val="24"/>
          <w:szCs w:val="24"/>
          <w:highlight w:val="white"/>
        </w:rPr>
      </w:pPr>
      <w:r w:rsidDel="00000000" w:rsidR="00000000" w:rsidRPr="00000000">
        <w:rPr>
          <w:color w:val="0b0c0c"/>
          <w:sz w:val="24"/>
          <w:szCs w:val="24"/>
          <w:highlight w:val="white"/>
          <w:rtl w:val="0"/>
        </w:rPr>
        <w:t xml:space="preserve">Our current list of consultees is set out below.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and Commercial Services Union (PCS)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FDA - The union for managers and professionals in public service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Prospect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GMB Union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POA - The professional Trade Union for Prison, Correctional and Public and Private Mental Health Service Providers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UNISON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Defence Police Federation (DPF)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Prison Governors’ Association (PGA)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ISU - The Union for Borders, Immigration and Customs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National Crime Officers Association (NCOA)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Civil Service Pensioners’ Alliance (CSPA) - when existing pensioner members appear likely to be affected by proposed regulations</w:t>
            </w:r>
          </w:p>
        </w:tc>
      </w:tr>
    </w:tbl>
    <w:p w:rsidR="00000000" w:rsidDel="00000000" w:rsidP="00000000" w:rsidRDefault="00000000" w:rsidRPr="00000000" w14:paraId="0000000F">
      <w:pPr>
        <w:rPr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